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29" w:rsidRPr="00053D4B" w:rsidRDefault="00094129" w:rsidP="001C745B">
      <w:pPr>
        <w:kinsoku w:val="0"/>
        <w:overflowPunct w:val="0"/>
        <w:autoSpaceDE w:val="0"/>
        <w:autoSpaceDN w:val="0"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sz w:val="36"/>
        </w:rPr>
      </w:pPr>
      <w:r w:rsidRPr="00053D4B">
        <w:rPr>
          <w:rFonts w:ascii="標楷體" w:eastAsia="標楷體" w:hAnsi="標楷體" w:hint="eastAsia"/>
          <w:sz w:val="36"/>
        </w:rPr>
        <w:t>中華民國證券市場編碼原則</w:t>
      </w:r>
    </w:p>
    <w:p w:rsidR="00094129" w:rsidRPr="00A67F91" w:rsidRDefault="00094129" w:rsidP="001C745B">
      <w:pPr>
        <w:kinsoku w:val="0"/>
        <w:overflowPunct w:val="0"/>
        <w:autoSpaceDE w:val="0"/>
        <w:autoSpaceDN w:val="0"/>
        <w:adjustRightInd w:val="0"/>
        <w:snapToGrid w:val="0"/>
        <w:spacing w:beforeLines="50" w:afterLines="50" w:line="240" w:lineRule="atLeast"/>
        <w:jc w:val="right"/>
        <w:rPr>
          <w:rFonts w:ascii="標楷體" w:eastAsia="標楷體" w:hAnsi="標楷體"/>
        </w:rPr>
      </w:pPr>
      <w:r w:rsidRPr="00A67F91">
        <w:rPr>
          <w:rFonts w:ascii="標楷體" w:eastAsia="標楷體" w:hAnsi="標楷體" w:hint="eastAsia"/>
        </w:rPr>
        <w:t>中華民國10</w:t>
      </w:r>
      <w:r w:rsidR="001C745B">
        <w:rPr>
          <w:rFonts w:ascii="標楷體" w:eastAsia="標楷體" w:hAnsi="標楷體" w:hint="eastAsia"/>
        </w:rPr>
        <w:t>5</w:t>
      </w:r>
      <w:r w:rsidRPr="00A67F91">
        <w:rPr>
          <w:rFonts w:ascii="標楷體" w:eastAsia="標楷體" w:hAnsi="標楷體" w:hint="eastAsia"/>
        </w:rPr>
        <w:t>年</w:t>
      </w:r>
      <w:r w:rsidR="001C745B">
        <w:rPr>
          <w:rFonts w:ascii="標楷體" w:eastAsia="標楷體" w:hAnsi="標楷體" w:hint="eastAsia"/>
        </w:rPr>
        <w:t>7</w:t>
      </w:r>
      <w:r w:rsidRPr="00A67F91">
        <w:rPr>
          <w:rFonts w:ascii="標楷體" w:eastAsia="標楷體" w:hAnsi="標楷體" w:hint="eastAsia"/>
        </w:rPr>
        <w:t>月</w:t>
      </w:r>
      <w:r w:rsidR="001C745B">
        <w:rPr>
          <w:rFonts w:ascii="標楷體" w:eastAsia="標楷體" w:hAnsi="標楷體" w:hint="eastAsia"/>
        </w:rPr>
        <w:t>7</w:t>
      </w:r>
      <w:r w:rsidRPr="00A67F91">
        <w:rPr>
          <w:rFonts w:ascii="標楷體" w:eastAsia="標楷體" w:hAnsi="標楷體" w:hint="eastAsia"/>
        </w:rPr>
        <w:t>日金融監督管理委員會</w:t>
      </w:r>
    </w:p>
    <w:p w:rsidR="00094129" w:rsidRPr="00A67F91" w:rsidRDefault="000A5EBB" w:rsidP="001C745B">
      <w:pPr>
        <w:kinsoku w:val="0"/>
        <w:overflowPunct w:val="0"/>
        <w:autoSpaceDE w:val="0"/>
        <w:autoSpaceDN w:val="0"/>
        <w:adjustRightInd w:val="0"/>
        <w:snapToGrid w:val="0"/>
        <w:spacing w:beforeLines="50" w:afterLines="50"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</w:t>
      </w:r>
      <w:proofErr w:type="gramStart"/>
      <w:r>
        <w:rPr>
          <w:rFonts w:ascii="標楷體" w:eastAsia="標楷體" w:hAnsi="標楷體" w:hint="eastAsia"/>
        </w:rPr>
        <w:t>管證</w:t>
      </w:r>
      <w:r w:rsidR="001C745B">
        <w:rPr>
          <w:rFonts w:ascii="標楷體" w:eastAsia="標楷體" w:hAnsi="標楷體" w:hint="eastAsia"/>
        </w:rPr>
        <w:t>期</w:t>
      </w:r>
      <w:r w:rsidR="00094129" w:rsidRPr="00A67F91">
        <w:rPr>
          <w:rFonts w:ascii="標楷體" w:eastAsia="標楷體" w:hAnsi="標楷體" w:hint="eastAsia"/>
        </w:rPr>
        <w:t>字</w:t>
      </w:r>
      <w:proofErr w:type="gramEnd"/>
      <w:r w:rsidR="00094129" w:rsidRPr="00A67F91">
        <w:rPr>
          <w:rFonts w:ascii="標楷體" w:eastAsia="標楷體" w:hAnsi="標楷體" w:hint="eastAsia"/>
        </w:rPr>
        <w:t>第10</w:t>
      </w:r>
      <w:r w:rsidR="001C745B">
        <w:rPr>
          <w:rFonts w:ascii="標楷體" w:eastAsia="標楷體" w:hAnsi="標楷體" w:hint="eastAsia"/>
        </w:rPr>
        <w:t>5</w:t>
      </w:r>
      <w:r w:rsidR="00DB7AC7">
        <w:rPr>
          <w:rFonts w:ascii="標楷體" w:eastAsia="標楷體" w:hAnsi="標楷體" w:hint="eastAsia"/>
        </w:rPr>
        <w:t>002</w:t>
      </w:r>
      <w:r w:rsidR="001C745B">
        <w:rPr>
          <w:rFonts w:ascii="標楷體" w:eastAsia="標楷體" w:hAnsi="標楷體" w:hint="eastAsia"/>
        </w:rPr>
        <w:t>5227</w:t>
      </w:r>
      <w:r w:rsidR="00094129" w:rsidRPr="00A67F91">
        <w:rPr>
          <w:rFonts w:ascii="標楷體" w:eastAsia="標楷體" w:hAnsi="標楷體" w:hint="eastAsia"/>
        </w:rPr>
        <w:t>號函核備修訂</w:t>
      </w:r>
    </w:p>
    <w:p w:rsidR="00D50B69" w:rsidRPr="00094129" w:rsidRDefault="00094129" w:rsidP="001C745B">
      <w:pPr>
        <w:pStyle w:val="a3"/>
        <w:numPr>
          <w:ilvl w:val="0"/>
          <w:numId w:val="1"/>
        </w:numPr>
        <w:adjustRightInd w:val="0"/>
        <w:snapToGrid w:val="0"/>
        <w:spacing w:beforeLines="50" w:afterLines="50" w:line="240" w:lineRule="atLeas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094129">
        <w:rPr>
          <w:rFonts w:ascii="標楷體" w:eastAsia="標楷體" w:hAnsi="標楷體" w:cs="細明體"/>
          <w:kern w:val="0"/>
          <w:sz w:val="28"/>
          <w:szCs w:val="28"/>
        </w:rPr>
        <w:t>中華民國證券市場編碼原則</w:t>
      </w:r>
      <w:r w:rsidRPr="00094129">
        <w:rPr>
          <w:rFonts w:ascii="標楷體" w:eastAsia="標楷體" w:hAnsi="標楷體"/>
          <w:sz w:val="28"/>
          <w:szCs w:val="28"/>
        </w:rPr>
        <w:t>由</w:t>
      </w:r>
      <w:r w:rsidRPr="00094129">
        <w:rPr>
          <w:rFonts w:ascii="標楷體" w:eastAsia="標楷體" w:hAnsi="標楷體" w:hint="eastAsia"/>
          <w:sz w:val="28"/>
          <w:szCs w:val="28"/>
        </w:rPr>
        <w:t>臺</w:t>
      </w:r>
      <w:r w:rsidRPr="00094129">
        <w:rPr>
          <w:rFonts w:ascii="標楷體" w:eastAsia="標楷體" w:hAnsi="標楷體"/>
          <w:sz w:val="28"/>
          <w:szCs w:val="28"/>
        </w:rPr>
        <w:t>灣證券交易所統一賦予</w:t>
      </w:r>
      <w:r w:rsidRPr="00094129">
        <w:rPr>
          <w:rFonts w:ascii="標楷體" w:eastAsia="標楷體" w:hAnsi="標楷體" w:hint="eastAsia"/>
          <w:sz w:val="28"/>
          <w:szCs w:val="28"/>
        </w:rPr>
        <w:t>，包括下列有價證券：</w:t>
      </w:r>
    </w:p>
    <w:p w:rsidR="00094129" w:rsidRPr="00094129" w:rsidRDefault="009F35CF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未公開發行公司股票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9F35CF">
        <w:rPr>
          <w:rFonts w:ascii="標楷體" w:eastAsia="標楷體" w:hAnsi="標楷體" w:hint="eastAsia"/>
          <w:kern w:val="0"/>
          <w:sz w:val="28"/>
          <w:szCs w:val="28"/>
        </w:rPr>
        <w:t>對登錄財團法人中華民國證券櫃檯買賣中心</w:t>
      </w:r>
      <w:proofErr w:type="gramStart"/>
      <w:r w:rsidRPr="009F35CF">
        <w:rPr>
          <w:rFonts w:ascii="標楷體" w:eastAsia="標楷體" w:hAnsi="標楷體" w:hint="eastAsia"/>
          <w:kern w:val="0"/>
          <w:sz w:val="28"/>
          <w:szCs w:val="28"/>
        </w:rPr>
        <w:t>創櫃板</w:t>
      </w:r>
      <w:proofErr w:type="gramEnd"/>
      <w:r w:rsidRPr="009F35CF">
        <w:rPr>
          <w:rFonts w:ascii="標楷體" w:eastAsia="標楷體" w:hAnsi="標楷體" w:hint="eastAsia"/>
          <w:kern w:val="0"/>
          <w:sz w:val="28"/>
          <w:szCs w:val="28"/>
        </w:rPr>
        <w:t>之股票，給予四位數字股票代號，公開發行時，沿用</w:t>
      </w:r>
      <w:proofErr w:type="gramStart"/>
      <w:r w:rsidRPr="009F35CF">
        <w:rPr>
          <w:rFonts w:ascii="標楷體" w:eastAsia="標楷體" w:hAnsi="標楷體" w:hint="eastAsia"/>
          <w:kern w:val="0"/>
          <w:sz w:val="28"/>
          <w:szCs w:val="28"/>
        </w:rPr>
        <w:t>創櫃板</w:t>
      </w:r>
      <w:proofErr w:type="gramEnd"/>
      <w:r w:rsidRPr="009F35CF">
        <w:rPr>
          <w:rFonts w:ascii="標楷體" w:eastAsia="標楷體" w:hAnsi="標楷體" w:hint="eastAsia"/>
          <w:kern w:val="0"/>
          <w:sz w:val="28"/>
          <w:szCs w:val="28"/>
        </w:rPr>
        <w:t>之股票代號。終止登錄</w:t>
      </w:r>
      <w:proofErr w:type="gramStart"/>
      <w:r w:rsidRPr="009F35CF">
        <w:rPr>
          <w:rFonts w:ascii="標楷體" w:eastAsia="標楷體" w:hAnsi="標楷體" w:hint="eastAsia"/>
          <w:kern w:val="0"/>
          <w:sz w:val="28"/>
          <w:szCs w:val="28"/>
        </w:rPr>
        <w:t>創櫃板且</w:t>
      </w:r>
      <w:proofErr w:type="gramEnd"/>
      <w:r w:rsidRPr="009F35CF">
        <w:rPr>
          <w:rFonts w:ascii="標楷體" w:eastAsia="標楷體" w:hAnsi="標楷體" w:hint="eastAsia"/>
          <w:kern w:val="0"/>
          <w:sz w:val="28"/>
          <w:szCs w:val="28"/>
        </w:rPr>
        <w:t>未申請公開發行者，其股票代號得重複編給其他股票使用。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公開發行公司股票：編碼原則為四位數字股票代號，新申請時，依其類別，於相同上市類別中，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依序給號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，相同上市類別之號碼用完後，再於上櫃相同類別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中給號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。未來若有更改產業類別或市場別變更，則依一碼到底原則，代號不予更動。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上市、上櫃股票：依一碼到底精神，於上市、櫃後沿用公開發行時賦予之代號。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興櫃股票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：依一碼到底精神，由公開發行轉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興櫃時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，沿用公開發行時賦予之代號。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3D0DD7">
        <w:rPr>
          <w:rFonts w:ascii="標楷體" w:eastAsia="標楷體" w:hAnsi="標楷體" w:cs="細明體"/>
          <w:kern w:val="0"/>
          <w:sz w:val="28"/>
          <w:szCs w:val="28"/>
        </w:rPr>
        <w:t>轉換</w:t>
      </w:r>
      <w:r w:rsidRPr="003D0DD7">
        <w:rPr>
          <w:rFonts w:ascii="標楷體" w:eastAsia="標楷體" w:hAnsi="標楷體"/>
          <w:sz w:val="28"/>
          <w:szCs w:val="28"/>
        </w:rPr>
        <w:t>公司債</w:t>
      </w:r>
      <w:r w:rsidRPr="003D0DD7">
        <w:rPr>
          <w:rFonts w:ascii="標楷體" w:eastAsia="標楷體" w:hAnsi="標楷體" w:cs="細明體"/>
          <w:kern w:val="0"/>
          <w:sz w:val="28"/>
          <w:szCs w:val="28"/>
        </w:rPr>
        <w:t>：於四位股票代號後，依發行先後次序加一</w:t>
      </w:r>
      <w:r w:rsidRPr="00BE27DC">
        <w:rPr>
          <w:rFonts w:ascii="標楷體" w:eastAsia="標楷體" w:hAnsi="標楷體" w:cs="細明體" w:hint="eastAsia"/>
          <w:kern w:val="0"/>
          <w:sz w:val="28"/>
          <w:szCs w:val="28"/>
        </w:rPr>
        <w:t>至二</w:t>
      </w:r>
      <w:r w:rsidRPr="00BE27DC">
        <w:rPr>
          <w:rFonts w:ascii="標楷體" w:eastAsia="標楷體" w:hAnsi="標楷體" w:cs="細明體"/>
          <w:kern w:val="0"/>
          <w:sz w:val="28"/>
          <w:szCs w:val="28"/>
        </w:rPr>
        <w:t>位</w:t>
      </w:r>
      <w:r w:rsidRPr="00BE27DC">
        <w:rPr>
          <w:rFonts w:ascii="標楷體" w:eastAsia="標楷體" w:hAnsi="標楷體" w:cs="細明體" w:hint="eastAsia"/>
          <w:kern w:val="0"/>
          <w:sz w:val="28"/>
          <w:szCs w:val="28"/>
        </w:rPr>
        <w:t>流水碼</w:t>
      </w:r>
      <w:r w:rsidRPr="00BE27DC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BE27DC">
        <w:rPr>
          <w:rFonts w:ascii="標楷體" w:eastAsia="標楷體" w:hAnsi="標楷體" w:cs="細明體" w:hint="eastAsia"/>
          <w:kern w:val="0"/>
          <w:sz w:val="28"/>
          <w:szCs w:val="28"/>
        </w:rPr>
        <w:t>1</w:t>
      </w:r>
      <w:r w:rsidRPr="00BE27DC">
        <w:rPr>
          <w:rFonts w:ascii="標楷體" w:eastAsia="標楷體" w:hAnsi="標楷體" w:cs="細明體"/>
          <w:kern w:val="0"/>
          <w:sz w:val="28"/>
          <w:szCs w:val="28"/>
        </w:rPr>
        <w:t>-</w:t>
      </w:r>
      <w:r w:rsidRPr="00BE27DC">
        <w:rPr>
          <w:rFonts w:ascii="標楷體" w:eastAsia="標楷體" w:hAnsi="標楷體" w:cs="細明體" w:hint="eastAsia"/>
          <w:kern w:val="0"/>
          <w:sz w:val="28"/>
          <w:szCs w:val="28"/>
        </w:rPr>
        <w:t>99(可重複使用)</w:t>
      </w:r>
      <w:r w:rsidRPr="00166208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3D0DD7">
        <w:rPr>
          <w:rFonts w:ascii="標楷體" w:eastAsia="標楷體" w:hAnsi="標楷體" w:cs="細明體"/>
          <w:kern w:val="0"/>
          <w:sz w:val="28"/>
          <w:szCs w:val="28"/>
        </w:rPr>
        <w:t>交換</w:t>
      </w:r>
      <w:r w:rsidRPr="003D0DD7">
        <w:rPr>
          <w:rFonts w:ascii="標楷體" w:eastAsia="標楷體" w:hAnsi="標楷體"/>
          <w:sz w:val="28"/>
          <w:szCs w:val="28"/>
        </w:rPr>
        <w:t>公司債</w:t>
      </w:r>
      <w:r w:rsidRPr="00AC5C4F">
        <w:rPr>
          <w:rFonts w:ascii="標楷體" w:eastAsia="標楷體" w:hAnsi="標楷體" w:hint="eastAsia"/>
          <w:sz w:val="28"/>
          <w:szCs w:val="28"/>
        </w:rPr>
        <w:t>或</w:t>
      </w:r>
      <w:r w:rsidRPr="003D0DD7">
        <w:rPr>
          <w:rFonts w:ascii="標楷體" w:eastAsia="標楷體" w:hAnsi="標楷體" w:cs="細明體"/>
          <w:kern w:val="0"/>
          <w:sz w:val="28"/>
          <w:szCs w:val="28"/>
        </w:rPr>
        <w:t>交換金融債：於四位股票代號後，依發行先後次序加二位流水碼</w:t>
      </w:r>
      <w:r w:rsidRPr="004E65CB">
        <w:rPr>
          <w:rFonts w:ascii="標楷體" w:eastAsia="標楷體" w:hAnsi="標楷體" w:cs="細明體"/>
          <w:kern w:val="0"/>
          <w:sz w:val="28"/>
          <w:szCs w:val="28"/>
        </w:rPr>
        <w:t xml:space="preserve"> 01-</w:t>
      </w: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09(可重複使用)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股款繳納憑證、新股權利證書及可轉換公司債換股權利證書：於四位股票代號後，加一位英文字母 L-Z。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特別股：於四位股票代號後加英文字母 A-E。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認股權憑證：於四位股票代號後加英文字母G，第六位則為 1-9。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附認股權特別股：於四位股票代號後加一位英文字母G，第六位則為英文字母A-C。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附認股權公司債：於四位股票代號後加一位英文字母G，</w:t>
      </w:r>
      <w:r w:rsidRPr="00053D4B">
        <w:rPr>
          <w:rFonts w:ascii="標楷體" w:eastAsia="標楷體" w:hAnsi="標楷體" w:cs="細明體"/>
          <w:kern w:val="0"/>
          <w:sz w:val="28"/>
          <w:szCs w:val="28"/>
        </w:rPr>
        <w:lastRenderedPageBreak/>
        <w:t>第六位則為英文字母D-L。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附認股權公司債履約或分拆後之公司債：於四位股票代號後加英文字母F，第六碼為 1-9。</w:t>
      </w:r>
    </w:p>
    <w:p w:rsidR="00094129" w:rsidRPr="00094129" w:rsidRDefault="00094129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認購（售）權證：</w:t>
      </w:r>
    </w:p>
    <w:p w:rsidR="00094129" w:rsidRPr="00094129" w:rsidRDefault="00094129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  <w:rPr>
          <w:rFonts w:ascii="標楷體" w:eastAsia="標楷體" w:hAnsi="標楷體" w:cs="細明體"/>
          <w:kern w:val="0"/>
          <w:sz w:val="28"/>
          <w:szCs w:val="28"/>
        </w:rPr>
      </w:pPr>
      <w:r w:rsidRPr="00094129">
        <w:rPr>
          <w:rFonts w:ascii="標楷體" w:eastAsia="標楷體" w:hAnsi="標楷體" w:cs="細明體"/>
          <w:kern w:val="0"/>
          <w:sz w:val="28"/>
          <w:szCs w:val="28"/>
        </w:rPr>
        <w:t>以國內證券或指數為標的之認購權證：前二碼為數字，後加四位流水編號。</w:t>
      </w:r>
    </w:p>
    <w:p w:rsidR="00094129" w:rsidRPr="00094129" w:rsidRDefault="00094129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以國內證券或指數為標的之認售權證：前二碼為數字，後加三位流水編號，第六碼為英文字母P。</w:t>
      </w:r>
    </w:p>
    <w:p w:rsidR="00094129" w:rsidRPr="002A6E3F" w:rsidRDefault="00094129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以外國證券或指數為標的之認購權證：前二碼為數字，後加三位流水編號，第六碼為英文字母F。</w:t>
      </w:r>
    </w:p>
    <w:p w:rsidR="002A6E3F" w:rsidRPr="002A6E3F" w:rsidRDefault="002A6E3F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以外國證券或指數為標的之認售權證：前二碼為數字，後加三位流水編號，第六碼為英文字母Q。</w:t>
      </w:r>
    </w:p>
    <w:p w:rsidR="002A6E3F" w:rsidRPr="002A6E3F" w:rsidRDefault="002A6E3F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以國內證券或指數為標的之「下限型認購權證（牛證）」：前二碼為數字，後加三位流水編號，第六碼為英文字母 C。</w:t>
      </w:r>
    </w:p>
    <w:p w:rsidR="002A6E3F" w:rsidRPr="00DB7AC7" w:rsidRDefault="002A6E3F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以國內證券或指數為標的之「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上限型認售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權證（熊證）」：前二碼為數字，後加三位流水編號，第六碼為英文字母 B。</w:t>
      </w:r>
    </w:p>
    <w:p w:rsidR="00DB7AC7" w:rsidRPr="00DB7AC7" w:rsidRDefault="00DB7AC7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  <w:rPr>
          <w:sz w:val="28"/>
          <w:szCs w:val="28"/>
        </w:rPr>
      </w:pPr>
      <w:r w:rsidRPr="00DB7AC7">
        <w:rPr>
          <w:rFonts w:ascii="標楷體" w:eastAsia="標楷體" w:hAnsi="標楷體"/>
          <w:sz w:val="28"/>
          <w:szCs w:val="28"/>
        </w:rPr>
        <w:t xml:space="preserve">以國內證券或指數為標的之「可展延下限型認購權證（牛證）」：前二碼為數字，後加三位流水編號，第六碼為英文字母 </w:t>
      </w:r>
      <w:r w:rsidRPr="00DB7AC7">
        <w:rPr>
          <w:rFonts w:ascii="標楷體" w:eastAsia="標楷體" w:hAnsi="標楷體" w:hint="eastAsia"/>
          <w:sz w:val="28"/>
          <w:szCs w:val="28"/>
        </w:rPr>
        <w:t>X</w:t>
      </w:r>
      <w:r w:rsidRPr="00DB7AC7">
        <w:rPr>
          <w:rFonts w:ascii="標楷體" w:eastAsia="標楷體" w:hAnsi="標楷體"/>
          <w:sz w:val="28"/>
          <w:szCs w:val="28"/>
        </w:rPr>
        <w:t>。</w:t>
      </w:r>
    </w:p>
    <w:p w:rsidR="00DB7AC7" w:rsidRPr="00DB7AC7" w:rsidRDefault="00DB7AC7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  <w:rPr>
          <w:sz w:val="28"/>
          <w:szCs w:val="28"/>
        </w:rPr>
      </w:pPr>
      <w:r w:rsidRPr="00DB7AC7">
        <w:rPr>
          <w:rFonts w:ascii="標楷體" w:eastAsia="標楷體" w:hAnsi="標楷體"/>
          <w:sz w:val="28"/>
          <w:szCs w:val="28"/>
        </w:rPr>
        <w:t>以國內證券或指數為標的之「可展延</w:t>
      </w:r>
      <w:proofErr w:type="gramStart"/>
      <w:r w:rsidRPr="00DB7AC7">
        <w:rPr>
          <w:rFonts w:ascii="標楷體" w:eastAsia="標楷體" w:hAnsi="標楷體"/>
          <w:sz w:val="28"/>
          <w:szCs w:val="28"/>
        </w:rPr>
        <w:t>上限型認售</w:t>
      </w:r>
      <w:proofErr w:type="gramEnd"/>
      <w:r w:rsidRPr="00DB7AC7">
        <w:rPr>
          <w:rFonts w:ascii="標楷體" w:eastAsia="標楷體" w:hAnsi="標楷體"/>
          <w:sz w:val="28"/>
          <w:szCs w:val="28"/>
        </w:rPr>
        <w:t xml:space="preserve">權證（熊證）」：前二碼為數字，後加三位流水編號，第六碼為英文字母 </w:t>
      </w:r>
      <w:r w:rsidRPr="00DB7AC7">
        <w:rPr>
          <w:rFonts w:ascii="標楷體" w:eastAsia="標楷體" w:hAnsi="標楷體" w:hint="eastAsia"/>
          <w:sz w:val="28"/>
          <w:szCs w:val="28"/>
        </w:rPr>
        <w:t>Y</w:t>
      </w:r>
      <w:r w:rsidRPr="00DB7AC7">
        <w:rPr>
          <w:rFonts w:ascii="標楷體" w:eastAsia="標楷體" w:hAnsi="標楷體"/>
          <w:sz w:val="28"/>
          <w:szCs w:val="28"/>
        </w:rPr>
        <w:t>。</w:t>
      </w:r>
    </w:p>
    <w:p w:rsidR="002A6E3F" w:rsidRPr="002A6E3F" w:rsidRDefault="002A6E3F" w:rsidP="001C745B">
      <w:pPr>
        <w:pStyle w:val="a3"/>
        <w:numPr>
          <w:ilvl w:val="0"/>
          <w:numId w:val="3"/>
        </w:numPr>
        <w:adjustRightInd w:val="0"/>
        <w:snapToGrid w:val="0"/>
        <w:spacing w:beforeLines="50" w:afterLines="50" w:line="240" w:lineRule="atLeast"/>
        <w:ind w:leftChars="0" w:left="1276" w:hanging="85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認購（售）權證之代號，得重複使用。</w:t>
      </w:r>
    </w:p>
    <w:p w:rsidR="002A6E3F" w:rsidRDefault="002A6E3F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受益憑證（封閉式基金）、存託憑證及ETF等金融商品：</w:t>
      </w:r>
    </w:p>
    <w:p w:rsidR="00B41A84" w:rsidRPr="00B41A84" w:rsidRDefault="00DB7AC7" w:rsidP="001C745B">
      <w:pPr>
        <w:pStyle w:val="a3"/>
        <w:numPr>
          <w:ilvl w:val="0"/>
          <w:numId w:val="9"/>
        </w:numPr>
        <w:adjustRightInd w:val="0"/>
        <w:snapToGrid w:val="0"/>
        <w:spacing w:beforeLines="50" w:afterLines="50" w:line="240" w:lineRule="atLeast"/>
        <w:ind w:leftChars="0" w:left="1276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受益憑證（封閉式基金）、存託憑證：</w:t>
      </w:r>
      <w:r w:rsidR="002A6E3F" w:rsidRPr="00B41A84">
        <w:rPr>
          <w:rFonts w:ascii="標楷體" w:eastAsia="標楷體" w:hAnsi="標楷體" w:cs="細明體"/>
          <w:kern w:val="0"/>
          <w:sz w:val="28"/>
          <w:szCs w:val="28"/>
        </w:rPr>
        <w:t>原則為前二碼為數字，後加四位流水編碼。</w:t>
      </w:r>
    </w:p>
    <w:p w:rsidR="00DB7AC7" w:rsidRPr="00DB7AC7" w:rsidRDefault="00DB7AC7" w:rsidP="001C745B">
      <w:pPr>
        <w:pStyle w:val="a3"/>
        <w:numPr>
          <w:ilvl w:val="0"/>
          <w:numId w:val="9"/>
        </w:numPr>
        <w:adjustRightInd w:val="0"/>
        <w:snapToGrid w:val="0"/>
        <w:spacing w:beforeLines="50" w:afterLines="50" w:line="240" w:lineRule="atLeast"/>
        <w:ind w:leftChars="0" w:left="1276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/>
          <w:kern w:val="0"/>
          <w:sz w:val="28"/>
          <w:szCs w:val="28"/>
        </w:rPr>
        <w:t>以存託憑證為轉換或履行標的之公司債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>：</w:t>
      </w:r>
    </w:p>
    <w:p w:rsidR="002A6E3F" w:rsidRPr="002A6E3F" w:rsidRDefault="002A6E3F" w:rsidP="001C745B">
      <w:pPr>
        <w:pStyle w:val="a3"/>
        <w:numPr>
          <w:ilvl w:val="0"/>
          <w:numId w:val="5"/>
        </w:numPr>
        <w:adjustRightInd w:val="0"/>
        <w:snapToGrid w:val="0"/>
        <w:spacing w:beforeLines="50" w:afterLines="50" w:line="240" w:lineRule="atLeast"/>
        <w:ind w:leftChars="0" w:left="1560"/>
        <w:rPr>
          <w:rFonts w:ascii="標楷體" w:eastAsia="標楷體" w:hAnsi="標楷體" w:cs="細明體"/>
          <w:kern w:val="0"/>
          <w:sz w:val="28"/>
          <w:szCs w:val="28"/>
        </w:rPr>
      </w:pPr>
      <w:r w:rsidRPr="002A6E3F">
        <w:rPr>
          <w:rFonts w:ascii="標楷體" w:eastAsia="標楷體" w:hAnsi="標楷體" w:cs="細明體"/>
          <w:kern w:val="0"/>
          <w:sz w:val="28"/>
          <w:szCs w:val="28"/>
        </w:rPr>
        <w:t>可轉換公司債：前二碼為數字，加二碼數字編號，第五碼為英文字母C，第六碼為數字流水編號 1-9。</w:t>
      </w:r>
    </w:p>
    <w:p w:rsidR="002A6E3F" w:rsidRPr="002A6E3F" w:rsidRDefault="002A6E3F" w:rsidP="001C745B">
      <w:pPr>
        <w:pStyle w:val="a3"/>
        <w:numPr>
          <w:ilvl w:val="0"/>
          <w:numId w:val="5"/>
        </w:numPr>
        <w:adjustRightInd w:val="0"/>
        <w:snapToGrid w:val="0"/>
        <w:spacing w:beforeLines="50" w:afterLines="50" w:line="240" w:lineRule="atLeast"/>
        <w:ind w:leftChars="0" w:left="156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附認股權公司債：前二碼為數字，加二碼數字編號，第五碼為英文字母G，第六碼為英文字母D-L。</w:t>
      </w:r>
    </w:p>
    <w:p w:rsidR="002A6E3F" w:rsidRPr="00C6076A" w:rsidRDefault="00C6076A" w:rsidP="001C745B">
      <w:pPr>
        <w:pStyle w:val="a3"/>
        <w:numPr>
          <w:ilvl w:val="0"/>
          <w:numId w:val="5"/>
        </w:numPr>
        <w:adjustRightInd w:val="0"/>
        <w:snapToGrid w:val="0"/>
        <w:spacing w:beforeLines="50" w:afterLines="50" w:line="240" w:lineRule="atLeast"/>
        <w:ind w:leftChars="0" w:left="156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附認股權公司債履約或分拆後之公司債：前二碼為數字，加二碼數字編號，第五碼為英文字母F，第六碼為數字流水編號 1-9。</w:t>
      </w:r>
    </w:p>
    <w:p w:rsidR="00DB7AC7" w:rsidRPr="007F72EE" w:rsidRDefault="00C6076A" w:rsidP="001C745B">
      <w:pPr>
        <w:pStyle w:val="a3"/>
        <w:numPr>
          <w:ilvl w:val="0"/>
          <w:numId w:val="5"/>
        </w:numPr>
        <w:adjustRightInd w:val="0"/>
        <w:snapToGrid w:val="0"/>
        <w:spacing w:beforeLines="50" w:afterLines="50" w:line="240" w:lineRule="atLeast"/>
        <w:ind w:leftChars="0" w:left="156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認股權憑證：前二碼為數字，加二碼數字編號，第五碼為英文字母G，第六碼為數字流水編號1-9。</w:t>
      </w:r>
    </w:p>
    <w:p w:rsidR="001C745B" w:rsidRPr="007D1065" w:rsidRDefault="001C745B" w:rsidP="001C745B">
      <w:pPr>
        <w:pStyle w:val="Default"/>
        <w:numPr>
          <w:ilvl w:val="0"/>
          <w:numId w:val="9"/>
        </w:numPr>
        <w:snapToGrid w:val="0"/>
        <w:spacing w:line="240" w:lineRule="atLeast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ETF</w:t>
      </w:r>
      <w:r>
        <w:rPr>
          <w:rFonts w:hint="eastAsia"/>
          <w:sz w:val="28"/>
          <w:szCs w:val="28"/>
        </w:rPr>
        <w:t>前二碼為數字，後加三碼流水編碼</w:t>
      </w:r>
      <w:r w:rsidRPr="001C745B">
        <w:rPr>
          <w:rFonts w:hint="eastAsia"/>
          <w:sz w:val="28"/>
          <w:szCs w:val="28"/>
        </w:rPr>
        <w:t>：</w:t>
      </w:r>
    </w:p>
    <w:p w:rsidR="001C745B" w:rsidRPr="001C745B" w:rsidRDefault="001C745B" w:rsidP="001C745B">
      <w:pPr>
        <w:pStyle w:val="a3"/>
        <w:numPr>
          <w:ilvl w:val="0"/>
          <w:numId w:val="11"/>
        </w:numPr>
        <w:adjustRightInd w:val="0"/>
        <w:snapToGrid w:val="0"/>
        <w:spacing w:beforeLines="50" w:afterLines="50" w:line="240" w:lineRule="atLeast"/>
        <w:ind w:leftChars="0" w:left="1560"/>
        <w:rPr>
          <w:rFonts w:ascii="標楷體" w:eastAsia="標楷體" w:hAnsi="標楷體" w:hint="eastAsia"/>
          <w:sz w:val="28"/>
          <w:szCs w:val="28"/>
          <w:u w:val="single"/>
        </w:rPr>
      </w:pPr>
      <w:r w:rsidRPr="001C745B">
        <w:rPr>
          <w:rFonts w:ascii="標楷體" w:eastAsia="標楷體" w:hAnsi="標楷體" w:hint="eastAsia"/>
          <w:sz w:val="28"/>
          <w:szCs w:val="28"/>
        </w:rPr>
        <w:t>指數股票型證券投資信託基金：以外幣計價者，第六碼為英文字母</w:t>
      </w:r>
      <w:r w:rsidRPr="001C745B">
        <w:rPr>
          <w:rFonts w:ascii="標楷體" w:eastAsia="標楷體" w:hAnsi="標楷體"/>
          <w:sz w:val="28"/>
          <w:szCs w:val="28"/>
        </w:rPr>
        <w:t>K</w:t>
      </w:r>
      <w:r w:rsidRPr="001C745B">
        <w:rPr>
          <w:rFonts w:ascii="標楷體" w:eastAsia="標楷體" w:hAnsi="標楷體" w:hint="eastAsia"/>
          <w:sz w:val="28"/>
          <w:szCs w:val="28"/>
        </w:rPr>
        <w:t>；如為</w:t>
      </w:r>
      <w:r w:rsidRPr="001C745B">
        <w:rPr>
          <w:rFonts w:ascii="標楷體" w:eastAsia="標楷體" w:hAnsi="標楷體" w:cs="細明體" w:hint="eastAsia"/>
          <w:kern w:val="0"/>
          <w:sz w:val="28"/>
          <w:szCs w:val="28"/>
        </w:rPr>
        <w:t>槓桿</w:t>
      </w:r>
      <w:r w:rsidRPr="001C745B">
        <w:rPr>
          <w:rFonts w:ascii="標楷體" w:eastAsia="標楷體" w:hAnsi="標楷體" w:hint="eastAsia"/>
          <w:sz w:val="28"/>
          <w:szCs w:val="28"/>
        </w:rPr>
        <w:t>型</w:t>
      </w:r>
      <w:r w:rsidRPr="001C745B">
        <w:rPr>
          <w:rFonts w:ascii="標楷體" w:eastAsia="標楷體" w:hAnsi="標楷體"/>
          <w:sz w:val="28"/>
          <w:szCs w:val="28"/>
        </w:rPr>
        <w:t>ETF</w:t>
      </w:r>
      <w:r w:rsidRPr="001C745B">
        <w:rPr>
          <w:rFonts w:ascii="標楷體" w:eastAsia="標楷體" w:hAnsi="標楷體" w:hint="eastAsia"/>
          <w:sz w:val="28"/>
          <w:szCs w:val="28"/>
        </w:rPr>
        <w:t>第六碼為英文字母</w:t>
      </w:r>
      <w:r w:rsidRPr="001C745B">
        <w:rPr>
          <w:rFonts w:ascii="標楷體" w:eastAsia="標楷體" w:hAnsi="標楷體"/>
          <w:sz w:val="28"/>
          <w:szCs w:val="28"/>
        </w:rPr>
        <w:t>L</w:t>
      </w:r>
      <w:r w:rsidRPr="001C745B">
        <w:rPr>
          <w:rFonts w:ascii="標楷體" w:eastAsia="標楷體" w:hAnsi="標楷體" w:hint="eastAsia"/>
          <w:sz w:val="28"/>
          <w:szCs w:val="28"/>
        </w:rPr>
        <w:t>、以外幣計價者第六碼為英文字母</w:t>
      </w:r>
      <w:r w:rsidRPr="001C745B">
        <w:rPr>
          <w:rFonts w:ascii="標楷體" w:eastAsia="標楷體" w:hAnsi="標楷體"/>
          <w:sz w:val="28"/>
          <w:szCs w:val="28"/>
        </w:rPr>
        <w:t>M</w:t>
      </w:r>
      <w:r w:rsidRPr="001C745B">
        <w:rPr>
          <w:rFonts w:ascii="標楷體" w:eastAsia="標楷體" w:hAnsi="標楷體" w:hint="eastAsia"/>
          <w:sz w:val="28"/>
          <w:szCs w:val="28"/>
        </w:rPr>
        <w:t>；</w:t>
      </w:r>
      <w:proofErr w:type="gramStart"/>
      <w:r w:rsidRPr="001C745B">
        <w:rPr>
          <w:rFonts w:ascii="標楷體" w:eastAsia="標楷體" w:hAnsi="標楷體" w:hint="eastAsia"/>
          <w:sz w:val="28"/>
          <w:szCs w:val="28"/>
        </w:rPr>
        <w:t>反向型</w:t>
      </w:r>
      <w:proofErr w:type="gramEnd"/>
      <w:r w:rsidRPr="001C745B">
        <w:rPr>
          <w:rFonts w:ascii="標楷體" w:eastAsia="標楷體" w:hAnsi="標楷體"/>
          <w:sz w:val="28"/>
          <w:szCs w:val="28"/>
        </w:rPr>
        <w:t>ETF</w:t>
      </w:r>
      <w:r w:rsidRPr="001C745B">
        <w:rPr>
          <w:rFonts w:ascii="標楷體" w:eastAsia="標楷體" w:hAnsi="標楷體" w:hint="eastAsia"/>
          <w:sz w:val="28"/>
          <w:szCs w:val="28"/>
        </w:rPr>
        <w:t>第六碼為英文字母</w:t>
      </w:r>
      <w:r w:rsidRPr="001C745B">
        <w:rPr>
          <w:rFonts w:ascii="標楷體" w:eastAsia="標楷體" w:hAnsi="標楷體"/>
          <w:sz w:val="28"/>
          <w:szCs w:val="28"/>
        </w:rPr>
        <w:t>R</w:t>
      </w:r>
      <w:r w:rsidRPr="001C745B">
        <w:rPr>
          <w:rFonts w:ascii="標楷體" w:eastAsia="標楷體" w:hAnsi="標楷體" w:hint="eastAsia"/>
          <w:sz w:val="28"/>
          <w:szCs w:val="28"/>
        </w:rPr>
        <w:t>、以外幣計價者第六碼為英文字母</w:t>
      </w:r>
      <w:r w:rsidRPr="001C745B">
        <w:rPr>
          <w:rFonts w:ascii="標楷體" w:eastAsia="標楷體" w:hAnsi="標楷體"/>
          <w:sz w:val="28"/>
          <w:szCs w:val="28"/>
        </w:rPr>
        <w:t>S</w:t>
      </w:r>
      <w:r w:rsidRPr="001C745B">
        <w:rPr>
          <w:rFonts w:ascii="標楷體" w:eastAsia="標楷體" w:hAnsi="標楷體" w:hint="eastAsia"/>
          <w:sz w:val="28"/>
          <w:szCs w:val="28"/>
        </w:rPr>
        <w:t>。</w:t>
      </w:r>
    </w:p>
    <w:p w:rsidR="007F72EE" w:rsidRPr="001C745B" w:rsidRDefault="001C745B" w:rsidP="001C745B">
      <w:pPr>
        <w:pStyle w:val="a3"/>
        <w:numPr>
          <w:ilvl w:val="0"/>
          <w:numId w:val="11"/>
        </w:numPr>
        <w:adjustRightInd w:val="0"/>
        <w:snapToGrid w:val="0"/>
        <w:spacing w:beforeLines="50" w:afterLines="50" w:line="240" w:lineRule="atLeast"/>
        <w:ind w:leftChars="0" w:left="1560"/>
        <w:rPr>
          <w:rFonts w:ascii="標楷體" w:eastAsia="標楷體" w:hAnsi="標楷體"/>
          <w:sz w:val="28"/>
          <w:szCs w:val="28"/>
        </w:rPr>
      </w:pPr>
      <w:r w:rsidRPr="001C745B">
        <w:rPr>
          <w:rFonts w:ascii="標楷體" w:eastAsia="標楷體" w:hAnsi="標楷體" w:hint="eastAsia"/>
          <w:sz w:val="28"/>
          <w:szCs w:val="28"/>
        </w:rPr>
        <w:t>指數股票型期貨信託基金(簡稱期貨ETF)：第六碼為英文字母</w:t>
      </w:r>
      <w:r w:rsidRPr="001C745B">
        <w:rPr>
          <w:rFonts w:ascii="標楷體" w:eastAsia="標楷體" w:hAnsi="標楷體"/>
          <w:sz w:val="28"/>
          <w:szCs w:val="28"/>
        </w:rPr>
        <w:t>U</w:t>
      </w:r>
      <w:r w:rsidRPr="001C745B">
        <w:rPr>
          <w:rFonts w:ascii="標楷體" w:eastAsia="標楷體" w:hAnsi="標楷體" w:hint="eastAsia"/>
          <w:sz w:val="28"/>
          <w:szCs w:val="28"/>
        </w:rPr>
        <w:t>、以外幣計價者第六碼為英文字母</w:t>
      </w:r>
      <w:r w:rsidRPr="001C745B">
        <w:rPr>
          <w:rFonts w:ascii="標楷體" w:eastAsia="標楷體" w:hAnsi="標楷體"/>
          <w:sz w:val="28"/>
          <w:szCs w:val="28"/>
        </w:rPr>
        <w:t>V</w:t>
      </w:r>
      <w:r w:rsidRPr="001C745B">
        <w:rPr>
          <w:rFonts w:ascii="標楷體" w:eastAsia="標楷體" w:hAnsi="標楷體" w:hint="eastAsia"/>
          <w:sz w:val="28"/>
          <w:szCs w:val="28"/>
        </w:rPr>
        <w:t>。如為槓桿型期貨ETF及以外幣計價者、</w:t>
      </w:r>
      <w:proofErr w:type="gramStart"/>
      <w:r w:rsidRPr="001C745B">
        <w:rPr>
          <w:rFonts w:ascii="標楷體" w:eastAsia="標楷體" w:hAnsi="標楷體" w:hint="eastAsia"/>
          <w:sz w:val="28"/>
          <w:szCs w:val="28"/>
        </w:rPr>
        <w:t>反向型</w:t>
      </w:r>
      <w:proofErr w:type="gramEnd"/>
      <w:r w:rsidRPr="001C745B">
        <w:rPr>
          <w:rFonts w:ascii="標楷體" w:eastAsia="標楷體" w:hAnsi="標楷體" w:hint="eastAsia"/>
          <w:sz w:val="28"/>
          <w:szCs w:val="28"/>
        </w:rPr>
        <w:t>期貨ETF及以外幣計價者，第六碼英文字母編碼，</w:t>
      </w:r>
      <w:proofErr w:type="gramStart"/>
      <w:r w:rsidRPr="001C745B">
        <w:rPr>
          <w:rFonts w:ascii="標楷體" w:eastAsia="標楷體" w:hAnsi="標楷體" w:hint="eastAsia"/>
          <w:sz w:val="28"/>
          <w:szCs w:val="28"/>
        </w:rPr>
        <w:t>準用前目編碼</w:t>
      </w:r>
      <w:proofErr w:type="gramEnd"/>
      <w:r w:rsidRPr="001C745B">
        <w:rPr>
          <w:rFonts w:ascii="標楷體" w:eastAsia="標楷體" w:hAnsi="標楷體" w:hint="eastAsia"/>
          <w:sz w:val="28"/>
          <w:szCs w:val="28"/>
        </w:rPr>
        <w:t>原則。</w:t>
      </w:r>
      <w:r w:rsidR="007F72EE" w:rsidRPr="001C74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86243" w:rsidRDefault="00486243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金融資產證券化之受益證券及資產基礎證券：前二碼為數字，後加三位流水編號，第六碼為英文字母S。</w:t>
      </w:r>
    </w:p>
    <w:p w:rsidR="00486243" w:rsidRDefault="00486243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不動產資產信託之受益證券：前二碼為數字，後加三位流水編號，第六碼為英文字母P。</w:t>
      </w:r>
    </w:p>
    <w:p w:rsidR="00486243" w:rsidRDefault="00486243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不動產投資信託之受益證券：前二碼為數字，後加三位流水編號，第六碼為英文字母T。</w:t>
      </w:r>
    </w:p>
    <w:p w:rsidR="00486243" w:rsidRDefault="00486243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普通公司債及分割公司債：英文字母B加五位文數字。普通公司債五位文數字為一碼行業別＋二碼公司別＋二碼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券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別，分割公司債五位文數字為二碼公司別＋二碼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券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別＋一碼本金或利息別。</w:t>
      </w:r>
    </w:p>
    <w:p w:rsidR="00486243" w:rsidRDefault="00486243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政府公債、交換公債及分割公債：</w:t>
      </w:r>
    </w:p>
    <w:p w:rsidR="00486243" w:rsidRPr="00486243" w:rsidRDefault="00B41A84" w:rsidP="001C745B">
      <w:pPr>
        <w:pStyle w:val="a3"/>
        <w:adjustRightInd w:val="0"/>
        <w:snapToGrid w:val="0"/>
        <w:spacing w:beforeLines="50" w:afterLines="50" w:line="240" w:lineRule="atLeast"/>
        <w:ind w:leftChars="295" w:left="1416" w:hangingChars="253" w:hanging="708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  <w:sz w:val="28"/>
          <w:szCs w:val="28"/>
        </w:rPr>
        <w:t>)</w:t>
      </w:r>
      <w:r w:rsidR="00486243" w:rsidRPr="00486243">
        <w:rPr>
          <w:rFonts w:ascii="標楷體" w:eastAsia="標楷體" w:hAnsi="標楷體" w:cs="細明體"/>
          <w:kern w:val="0"/>
          <w:sz w:val="28"/>
          <w:szCs w:val="28"/>
        </w:rPr>
        <w:t>政府公債及交換公債部分為：</w:t>
      </w:r>
    </w:p>
    <w:p w:rsidR="00486243" w:rsidRPr="00486243" w:rsidRDefault="00486243" w:rsidP="001C745B">
      <w:pPr>
        <w:pStyle w:val="a3"/>
        <w:numPr>
          <w:ilvl w:val="0"/>
          <w:numId w:val="7"/>
        </w:numPr>
        <w:adjustRightInd w:val="0"/>
        <w:snapToGrid w:val="0"/>
        <w:spacing w:beforeLines="50" w:afterLines="50" w:line="240" w:lineRule="atLeast"/>
        <w:ind w:leftChars="0" w:left="1560"/>
        <w:rPr>
          <w:rFonts w:ascii="標楷體" w:eastAsia="標楷體" w:hAnsi="標楷體" w:cs="細明體"/>
          <w:kern w:val="0"/>
          <w:sz w:val="28"/>
          <w:szCs w:val="28"/>
        </w:rPr>
      </w:pPr>
      <w:r w:rsidRPr="00486243">
        <w:rPr>
          <w:rFonts w:ascii="標楷體" w:eastAsia="標楷體" w:hAnsi="標楷體" w:cs="細明體"/>
          <w:kern w:val="0"/>
          <w:sz w:val="28"/>
          <w:szCs w:val="28"/>
        </w:rPr>
        <w:t>中央政府公債為英文字母A後加五位數字（二碼年度別＋一碼債券別＋二碼期別）。</w:t>
      </w:r>
    </w:p>
    <w:p w:rsidR="00486243" w:rsidRPr="00486243" w:rsidRDefault="00486243" w:rsidP="001C745B">
      <w:pPr>
        <w:pStyle w:val="a3"/>
        <w:numPr>
          <w:ilvl w:val="0"/>
          <w:numId w:val="7"/>
        </w:numPr>
        <w:adjustRightInd w:val="0"/>
        <w:snapToGrid w:val="0"/>
        <w:spacing w:beforeLines="50" w:afterLines="50" w:line="240" w:lineRule="atLeast"/>
        <w:ind w:leftChars="0" w:left="1560"/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地方政府公債為英文字母H後加五碼英數字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（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一碼英文字母A：臺北市政府公債、B：高雄市政府公債、C：新北市政府公債、D：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臺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中市政府公債、E：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臺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南市政府公債＋二碼年度別＋二碼期別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）</w:t>
      </w:r>
      <w:proofErr w:type="gramEnd"/>
      <w:r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486243" w:rsidRPr="00B41A84" w:rsidRDefault="00B41A84" w:rsidP="001C745B">
      <w:pPr>
        <w:pStyle w:val="a3"/>
        <w:adjustRightInd w:val="0"/>
        <w:snapToGrid w:val="0"/>
        <w:spacing w:beforeLines="50" w:afterLines="50" w:line="240" w:lineRule="atLeast"/>
        <w:ind w:leftChars="294" w:left="1300" w:hangingChars="212" w:hanging="594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(二)</w:t>
      </w:r>
      <w:r w:rsidR="00486243" w:rsidRPr="00B41A84">
        <w:rPr>
          <w:rFonts w:ascii="標楷體" w:eastAsia="標楷體" w:hAnsi="標楷體" w:cs="細明體"/>
          <w:kern w:val="0"/>
          <w:sz w:val="28"/>
          <w:szCs w:val="28"/>
        </w:rPr>
        <w:t>分割公債部分為：一碼證券識別碼（英文字母P代表分割本金公債、英文字母I代表分割利息公債）＋二碼到期（民國）年＋一碼到期月＋二碼到期日。</w:t>
      </w:r>
    </w:p>
    <w:p w:rsidR="00486243" w:rsidRDefault="00486243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金融債券及分割金融債券：英文字母G加五位文數字。金融債券五位文數字為一碼行業別＋二碼公司別＋二碼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券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別，分割金融債券五位文數字為二碼公司別＋二碼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券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別＋一碼本金或利息別。</w:t>
      </w:r>
    </w:p>
    <w:p w:rsidR="00DA2030" w:rsidRDefault="00DA2030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新台幣計價之外國債券及第二十二項以外之外幣計價債券：</w:t>
      </w:r>
      <w:r w:rsidRPr="004E65CB">
        <w:rPr>
          <w:rFonts w:ascii="標楷體" w:eastAsia="標楷體" w:hAnsi="標楷體" w:cs="細明體"/>
          <w:kern w:val="0"/>
          <w:sz w:val="28"/>
          <w:szCs w:val="28"/>
        </w:rPr>
        <w:t>英文字母F</w:t>
      </w: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後</w:t>
      </w:r>
      <w:r w:rsidRPr="004E65CB">
        <w:rPr>
          <w:rFonts w:ascii="標楷體" w:eastAsia="標楷體" w:hAnsi="標楷體" w:cs="細明體"/>
          <w:kern w:val="0"/>
          <w:sz w:val="28"/>
          <w:szCs w:val="28"/>
        </w:rPr>
        <w:t>加五位文數字。五位文數字為</w:t>
      </w: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三</w:t>
      </w:r>
      <w:r w:rsidRPr="004E65CB">
        <w:rPr>
          <w:rFonts w:ascii="標楷體" w:eastAsia="標楷體" w:hAnsi="標楷體" w:cs="細明體"/>
          <w:kern w:val="0"/>
          <w:sz w:val="28"/>
          <w:szCs w:val="28"/>
        </w:rPr>
        <w:t>碼公司別＋二碼</w:t>
      </w:r>
      <w:proofErr w:type="gramStart"/>
      <w:r w:rsidRPr="004E65CB">
        <w:rPr>
          <w:rFonts w:ascii="標楷體" w:eastAsia="標楷體" w:hAnsi="標楷體" w:cs="細明體"/>
          <w:kern w:val="0"/>
          <w:sz w:val="28"/>
          <w:szCs w:val="28"/>
        </w:rPr>
        <w:t>券</w:t>
      </w:r>
      <w:proofErr w:type="gramEnd"/>
      <w:r w:rsidRPr="004E65CB">
        <w:rPr>
          <w:rFonts w:ascii="標楷體" w:eastAsia="標楷體" w:hAnsi="標楷體" w:cs="細明體"/>
          <w:kern w:val="0"/>
          <w:sz w:val="28"/>
          <w:szCs w:val="28"/>
        </w:rPr>
        <w:t>別</w:t>
      </w: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；</w:t>
      </w:r>
      <w:r w:rsidRPr="004E65CB">
        <w:rPr>
          <w:rFonts w:ascii="標楷體" w:eastAsia="標楷體" w:hAnsi="標楷體" w:cs="細明體"/>
          <w:kern w:val="0"/>
          <w:sz w:val="28"/>
          <w:szCs w:val="28"/>
        </w:rPr>
        <w:t>分割債券五位文數字為</w:t>
      </w: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二</w:t>
      </w:r>
      <w:r w:rsidRPr="004E65CB">
        <w:rPr>
          <w:rFonts w:ascii="標楷體" w:eastAsia="標楷體" w:hAnsi="標楷體" w:cs="細明體"/>
          <w:kern w:val="0"/>
          <w:sz w:val="28"/>
          <w:szCs w:val="28"/>
        </w:rPr>
        <w:t>碼公司別＋二碼</w:t>
      </w:r>
      <w:proofErr w:type="gramStart"/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券</w:t>
      </w:r>
      <w:proofErr w:type="gramEnd"/>
      <w:r w:rsidRPr="004E65CB">
        <w:rPr>
          <w:rFonts w:ascii="標楷體" w:eastAsia="標楷體" w:hAnsi="標楷體" w:cs="細明體"/>
          <w:kern w:val="0"/>
          <w:sz w:val="28"/>
          <w:szCs w:val="28"/>
        </w:rPr>
        <w:t>別＋一碼本金或利息別。</w:t>
      </w:r>
    </w:p>
    <w:p w:rsidR="00DA2030" w:rsidRDefault="00DA2030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於國內上市、上櫃、</w:t>
      </w:r>
      <w:proofErr w:type="gramStart"/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登錄興櫃股票</w:t>
      </w:r>
      <w:proofErr w:type="gramEnd"/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或公開發行之公司發行含股權性質</w:t>
      </w:r>
      <w:r w:rsidRPr="004E65CB">
        <w:rPr>
          <w:rFonts w:ascii="標楷體" w:eastAsia="標楷體" w:hAnsi="標楷體" w:hint="eastAsia"/>
          <w:sz w:val="28"/>
          <w:szCs w:val="28"/>
        </w:rPr>
        <w:t>之</w:t>
      </w: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外幣</w:t>
      </w:r>
      <w:r w:rsidRPr="004E65CB">
        <w:rPr>
          <w:rFonts w:ascii="標楷體" w:eastAsia="標楷體" w:hAnsi="標楷體" w:hint="eastAsia"/>
          <w:sz w:val="28"/>
          <w:szCs w:val="28"/>
        </w:rPr>
        <w:t>計價</w:t>
      </w:r>
      <w:r w:rsidRPr="004E65CB">
        <w:rPr>
          <w:rFonts w:ascii="標楷體" w:eastAsia="標楷體" w:hAnsi="標楷體" w:cs="細明體" w:hint="eastAsia"/>
          <w:kern w:val="0"/>
          <w:sz w:val="28"/>
          <w:szCs w:val="28"/>
        </w:rPr>
        <w:t>債券：</w:t>
      </w:r>
    </w:p>
    <w:p w:rsidR="00745904" w:rsidRPr="00745904" w:rsidRDefault="00DA2030" w:rsidP="001C745B">
      <w:pPr>
        <w:pStyle w:val="a3"/>
        <w:numPr>
          <w:ilvl w:val="0"/>
          <w:numId w:val="10"/>
        </w:numPr>
        <w:adjustRightInd w:val="0"/>
        <w:snapToGrid w:val="0"/>
        <w:spacing w:beforeLines="50" w:afterLines="50" w:line="240" w:lineRule="atLeast"/>
        <w:ind w:leftChars="0" w:left="1276"/>
      </w:pPr>
      <w:r w:rsidRPr="00745904">
        <w:rPr>
          <w:rFonts w:ascii="標楷體" w:eastAsia="標楷體" w:hAnsi="標楷體" w:cs="細明體"/>
          <w:kern w:val="0"/>
          <w:sz w:val="28"/>
          <w:szCs w:val="28"/>
        </w:rPr>
        <w:t>轉換公司債</w:t>
      </w:r>
      <w:r w:rsidRPr="00745904">
        <w:rPr>
          <w:rFonts w:ascii="標楷體" w:eastAsia="標楷體" w:hAnsi="標楷體" w:cs="細明體" w:hint="eastAsia"/>
          <w:kern w:val="0"/>
          <w:sz w:val="28"/>
          <w:szCs w:val="28"/>
        </w:rPr>
        <w:t>或</w:t>
      </w:r>
      <w:r w:rsidRPr="00745904">
        <w:rPr>
          <w:rFonts w:ascii="標楷體" w:eastAsia="標楷體" w:hAnsi="標楷體" w:cs="細明體"/>
          <w:kern w:val="0"/>
          <w:sz w:val="28"/>
          <w:szCs w:val="28"/>
        </w:rPr>
        <w:t>海外轉換公司債：四位股票代號</w:t>
      </w:r>
      <w:r w:rsidRPr="00745904">
        <w:rPr>
          <w:rFonts w:ascii="標楷體" w:eastAsia="標楷體" w:hAnsi="標楷體" w:cs="細明體" w:hint="eastAsia"/>
          <w:kern w:val="0"/>
          <w:sz w:val="28"/>
          <w:szCs w:val="28"/>
        </w:rPr>
        <w:t>+</w:t>
      </w:r>
      <w:r w:rsidRPr="00745904">
        <w:rPr>
          <w:rFonts w:ascii="標楷體" w:eastAsia="標楷體" w:hAnsi="標楷體" w:cs="細明體"/>
          <w:kern w:val="0"/>
          <w:sz w:val="28"/>
          <w:szCs w:val="28"/>
        </w:rPr>
        <w:t>一</w:t>
      </w:r>
      <w:r w:rsidRPr="00745904">
        <w:rPr>
          <w:rFonts w:ascii="標楷體" w:eastAsia="標楷體" w:hAnsi="標楷體" w:cs="細明體" w:hint="eastAsia"/>
          <w:kern w:val="0"/>
          <w:sz w:val="28"/>
          <w:szCs w:val="28"/>
        </w:rPr>
        <w:t>碼數字1-9(可重複使用)</w:t>
      </w:r>
      <w:r w:rsidRPr="00745904">
        <w:rPr>
          <w:rFonts w:ascii="標楷體" w:eastAsia="標楷體" w:hAnsi="標楷體" w:hint="eastAsia"/>
          <w:sz w:val="28"/>
          <w:szCs w:val="28"/>
        </w:rPr>
        <w:t>+</w:t>
      </w:r>
      <w:r w:rsidRPr="00745904">
        <w:rPr>
          <w:rFonts w:ascii="標楷體" w:eastAsia="標楷體" w:hAnsi="標楷體" w:cs="細明體" w:hint="eastAsia"/>
          <w:kern w:val="0"/>
          <w:sz w:val="28"/>
          <w:szCs w:val="28"/>
        </w:rPr>
        <w:t>一碼英文字母E。</w:t>
      </w:r>
    </w:p>
    <w:p w:rsidR="00DA2030" w:rsidRPr="00DA2030" w:rsidRDefault="00DA2030" w:rsidP="001C745B">
      <w:pPr>
        <w:pStyle w:val="a3"/>
        <w:numPr>
          <w:ilvl w:val="0"/>
          <w:numId w:val="10"/>
        </w:numPr>
        <w:adjustRightInd w:val="0"/>
        <w:snapToGrid w:val="0"/>
        <w:spacing w:beforeLines="50" w:afterLines="50" w:line="240" w:lineRule="atLeast"/>
        <w:ind w:leftChars="0" w:left="1276"/>
      </w:pPr>
      <w:r w:rsidRPr="00745904">
        <w:rPr>
          <w:rFonts w:ascii="標楷體" w:eastAsia="標楷體" w:hAnsi="標楷體" w:cs="細明體"/>
          <w:kern w:val="0"/>
          <w:sz w:val="28"/>
          <w:szCs w:val="28"/>
        </w:rPr>
        <w:t>附認股權公司債</w:t>
      </w:r>
      <w:r w:rsidRPr="00745904">
        <w:rPr>
          <w:rFonts w:ascii="標楷體" w:eastAsia="標楷體" w:hAnsi="標楷體" w:cs="細明體" w:hint="eastAsia"/>
          <w:kern w:val="0"/>
          <w:sz w:val="28"/>
          <w:szCs w:val="28"/>
        </w:rPr>
        <w:t>或</w:t>
      </w:r>
      <w:proofErr w:type="gramStart"/>
      <w:r w:rsidRPr="00745904">
        <w:rPr>
          <w:rFonts w:ascii="標楷體" w:eastAsia="標楷體" w:hAnsi="標楷體" w:cs="細明體"/>
          <w:kern w:val="0"/>
          <w:sz w:val="28"/>
          <w:szCs w:val="28"/>
        </w:rPr>
        <w:t>海外附</w:t>
      </w:r>
      <w:proofErr w:type="gramEnd"/>
      <w:r w:rsidRPr="00745904">
        <w:rPr>
          <w:rFonts w:ascii="標楷體" w:eastAsia="標楷體" w:hAnsi="標楷體" w:cs="細明體"/>
          <w:kern w:val="0"/>
          <w:sz w:val="28"/>
          <w:szCs w:val="28"/>
        </w:rPr>
        <w:t>認股權公司債：四位股票代號</w:t>
      </w:r>
      <w:r w:rsidRPr="00745904">
        <w:rPr>
          <w:rFonts w:ascii="標楷體" w:eastAsia="標楷體" w:hAnsi="標楷體" w:cs="細明體" w:hint="eastAsia"/>
          <w:kern w:val="0"/>
          <w:sz w:val="28"/>
          <w:szCs w:val="28"/>
        </w:rPr>
        <w:t>+</w:t>
      </w:r>
      <w:r w:rsidRPr="00745904">
        <w:rPr>
          <w:rFonts w:ascii="標楷體" w:eastAsia="標楷體" w:hAnsi="標楷體" w:cs="細明體"/>
          <w:kern w:val="0"/>
          <w:sz w:val="28"/>
          <w:szCs w:val="28"/>
        </w:rPr>
        <w:t>一</w:t>
      </w:r>
      <w:r w:rsidRPr="00745904">
        <w:rPr>
          <w:rFonts w:ascii="標楷體" w:eastAsia="標楷體" w:hAnsi="標楷體" w:cs="細明體" w:hint="eastAsia"/>
          <w:kern w:val="0"/>
          <w:sz w:val="28"/>
          <w:szCs w:val="28"/>
        </w:rPr>
        <w:t>碼數字1-9(可重複使用)+一碼英文字母W。</w:t>
      </w:r>
    </w:p>
    <w:p w:rsidR="00DA2030" w:rsidRDefault="00DA2030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外國企業來台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登錄興櫃及第一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或第二上市、上櫃股票：編碼原則同公開發行公司股票編碼方式為四位數字股票代號。</w:t>
      </w:r>
    </w:p>
    <w:p w:rsidR="00DA2030" w:rsidRDefault="00DA2030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 w:cs="細明體"/>
          <w:kern w:val="0"/>
          <w:sz w:val="28"/>
          <w:szCs w:val="28"/>
        </w:rPr>
      </w:pPr>
      <w:r w:rsidRPr="00053D4B">
        <w:rPr>
          <w:rFonts w:ascii="標楷體" w:eastAsia="標楷體" w:hAnsi="標楷體" w:cs="細明體"/>
          <w:kern w:val="0"/>
          <w:sz w:val="28"/>
          <w:szCs w:val="28"/>
        </w:rPr>
        <w:t>外國企業來台</w:t>
      </w:r>
      <w:proofErr w:type="gramStart"/>
      <w:r w:rsidRPr="00053D4B">
        <w:rPr>
          <w:rFonts w:ascii="標楷體" w:eastAsia="標楷體" w:hAnsi="標楷體" w:cs="細明體"/>
          <w:kern w:val="0"/>
          <w:sz w:val="28"/>
          <w:szCs w:val="28"/>
        </w:rPr>
        <w:t>登錄興櫃及第一</w:t>
      </w:r>
      <w:proofErr w:type="gramEnd"/>
      <w:r w:rsidRPr="00053D4B">
        <w:rPr>
          <w:rFonts w:ascii="標楷體" w:eastAsia="標楷體" w:hAnsi="標楷體" w:cs="細明體"/>
          <w:kern w:val="0"/>
          <w:sz w:val="28"/>
          <w:szCs w:val="28"/>
        </w:rPr>
        <w:t>或第二上市、上櫃股票其發行普通股以外之其他有價證券：同公開發行公司發行有價證券之編碼原則。</w:t>
      </w:r>
    </w:p>
    <w:p w:rsidR="00DA2030" w:rsidRDefault="00DA2030" w:rsidP="001C745B">
      <w:pPr>
        <w:pStyle w:val="a3"/>
        <w:numPr>
          <w:ilvl w:val="0"/>
          <w:numId w:val="2"/>
        </w:numPr>
        <w:adjustRightInd w:val="0"/>
        <w:snapToGrid w:val="0"/>
        <w:spacing w:beforeLines="50" w:afterLines="50" w:line="240" w:lineRule="atLeast"/>
        <w:ind w:leftChars="0" w:left="1276" w:hanging="993"/>
        <w:rPr>
          <w:rFonts w:ascii="標楷體" w:eastAsia="標楷體" w:hAnsi="標楷體"/>
          <w:sz w:val="28"/>
          <w:szCs w:val="28"/>
        </w:rPr>
      </w:pPr>
      <w:r w:rsidRPr="004E65CB">
        <w:rPr>
          <w:rFonts w:ascii="標楷體" w:eastAsia="標楷體" w:hAnsi="標楷體" w:hint="eastAsia"/>
          <w:sz w:val="28"/>
          <w:szCs w:val="28"/>
        </w:rPr>
        <w:t>開放式基金受益憑證：英文字母</w:t>
      </w:r>
      <w:r w:rsidRPr="004E65CB">
        <w:rPr>
          <w:rFonts w:ascii="標楷體" w:eastAsia="標楷體" w:hAnsi="標楷體"/>
          <w:sz w:val="28"/>
          <w:szCs w:val="28"/>
        </w:rPr>
        <w:t>T</w:t>
      </w:r>
      <w:r w:rsidRPr="004E65CB">
        <w:rPr>
          <w:rFonts w:ascii="標楷體" w:eastAsia="標楷體" w:hAnsi="標楷體" w:hint="eastAsia"/>
          <w:sz w:val="28"/>
          <w:szCs w:val="28"/>
        </w:rPr>
        <w:t>加五位文數字</w:t>
      </w:r>
      <w:r w:rsidRPr="004E65CB">
        <w:rPr>
          <w:rFonts w:ascii="標楷體" w:eastAsia="標楷體" w:hAnsi="標楷體"/>
          <w:sz w:val="28"/>
          <w:szCs w:val="28"/>
        </w:rPr>
        <w:t>(</w:t>
      </w:r>
      <w:r w:rsidRPr="004E65CB">
        <w:rPr>
          <w:rFonts w:ascii="標楷體" w:eastAsia="標楷體" w:hAnsi="標楷體" w:hint="eastAsia"/>
          <w:sz w:val="28"/>
          <w:szCs w:val="28"/>
        </w:rPr>
        <w:t>二碼公司別</w:t>
      </w:r>
      <w:r w:rsidRPr="004E65CB">
        <w:rPr>
          <w:rFonts w:ascii="標楷體" w:eastAsia="標楷體" w:hAnsi="標楷體"/>
          <w:sz w:val="28"/>
          <w:szCs w:val="28"/>
        </w:rPr>
        <w:t>+</w:t>
      </w:r>
      <w:r w:rsidRPr="004E65CB">
        <w:rPr>
          <w:rFonts w:ascii="標楷體" w:eastAsia="標楷體" w:hAnsi="標楷體" w:hint="eastAsia"/>
          <w:sz w:val="28"/>
          <w:szCs w:val="28"/>
        </w:rPr>
        <w:t>二碼基金別</w:t>
      </w:r>
      <w:r w:rsidRPr="004E65CB">
        <w:rPr>
          <w:rFonts w:ascii="標楷體" w:eastAsia="標楷體" w:hAnsi="標楷體"/>
          <w:sz w:val="28"/>
          <w:szCs w:val="28"/>
        </w:rPr>
        <w:t>+</w:t>
      </w:r>
      <w:r w:rsidRPr="004E65CB">
        <w:rPr>
          <w:rFonts w:ascii="標楷體" w:eastAsia="標楷體" w:hAnsi="標楷體" w:hint="eastAsia"/>
          <w:sz w:val="28"/>
          <w:szCs w:val="28"/>
        </w:rPr>
        <w:t>一碼類別</w:t>
      </w:r>
      <w:r w:rsidRPr="004E65CB">
        <w:rPr>
          <w:rFonts w:ascii="標楷體" w:eastAsia="標楷體" w:hAnsi="標楷體"/>
          <w:sz w:val="28"/>
          <w:szCs w:val="28"/>
        </w:rPr>
        <w:t>)</w:t>
      </w:r>
      <w:r w:rsidRPr="004E65CB">
        <w:rPr>
          <w:rFonts w:ascii="標楷體" w:eastAsia="標楷體" w:hAnsi="標楷體" w:hint="eastAsia"/>
          <w:sz w:val="28"/>
          <w:szCs w:val="28"/>
        </w:rPr>
        <w:t>。</w:t>
      </w:r>
    </w:p>
    <w:p w:rsidR="00DA2030" w:rsidRPr="00DA2030" w:rsidRDefault="00DA2030" w:rsidP="006F3294">
      <w:pPr>
        <w:adjustRightInd w:val="0"/>
        <w:snapToGrid w:val="0"/>
        <w:spacing w:beforeLines="50" w:afterLines="50" w:line="240" w:lineRule="atLeast"/>
      </w:pPr>
      <w:r w:rsidRPr="00053D4B">
        <w:rPr>
          <w:rFonts w:ascii="標楷體" w:eastAsia="標楷體" w:hAnsi="標楷體" w:cs="細明體" w:hint="eastAsia"/>
          <w:kern w:val="0"/>
          <w:sz w:val="28"/>
          <w:szCs w:val="28"/>
        </w:rPr>
        <w:t>貳</w:t>
      </w:r>
      <w:r w:rsidRPr="00053D4B">
        <w:rPr>
          <w:rFonts w:ascii="標楷體" w:eastAsia="標楷體" w:hAnsi="標楷體" w:cs="細明體"/>
          <w:kern w:val="0"/>
          <w:sz w:val="28"/>
          <w:szCs w:val="28"/>
        </w:rPr>
        <w:t>、本編碼原則經報請主管機關核定後公告施行，修正時亦同。</w:t>
      </w:r>
    </w:p>
    <w:sectPr w:rsidR="00DA2030" w:rsidRPr="00DA2030" w:rsidSect="00D50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E3" w:rsidRDefault="00996FE3" w:rsidP="00AC5C4F">
      <w:r>
        <w:separator/>
      </w:r>
    </w:p>
  </w:endnote>
  <w:endnote w:type="continuationSeparator" w:id="0">
    <w:p w:rsidR="00996FE3" w:rsidRDefault="00996FE3" w:rsidP="00AC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E3" w:rsidRDefault="00996FE3" w:rsidP="00AC5C4F">
      <w:r>
        <w:separator/>
      </w:r>
    </w:p>
  </w:footnote>
  <w:footnote w:type="continuationSeparator" w:id="0">
    <w:p w:rsidR="00996FE3" w:rsidRDefault="00996FE3" w:rsidP="00AC5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04A"/>
    <w:multiLevelType w:val="hybridMultilevel"/>
    <w:tmpl w:val="6BAE4FC6"/>
    <w:lvl w:ilvl="0" w:tplc="0F385DA8">
      <w:start w:val="1"/>
      <w:numFmt w:val="taiwaneseCountingThousand"/>
      <w:lvlText w:val="（%1）"/>
      <w:lvlJc w:val="left"/>
      <w:pPr>
        <w:ind w:left="131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14A35C6E"/>
    <w:multiLevelType w:val="hybridMultilevel"/>
    <w:tmpl w:val="DA3CC524"/>
    <w:lvl w:ilvl="0" w:tplc="8E18D98E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034F73"/>
    <w:multiLevelType w:val="hybridMultilevel"/>
    <w:tmpl w:val="9120EA64"/>
    <w:lvl w:ilvl="0" w:tplc="187804A6">
      <w:start w:val="1"/>
      <w:numFmt w:val="decimal"/>
      <w:lvlText w:val="%1."/>
      <w:lvlJc w:val="left"/>
      <w:pPr>
        <w:ind w:left="1637" w:hanging="36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">
    <w:nsid w:val="1BE272C0"/>
    <w:multiLevelType w:val="hybridMultilevel"/>
    <w:tmpl w:val="29A06E60"/>
    <w:lvl w:ilvl="0" w:tplc="5F8E2544">
      <w:start w:val="1"/>
      <w:numFmt w:val="taiwaneseCountingThousand"/>
      <w:lvlText w:val="（%1）"/>
      <w:lvlJc w:val="left"/>
      <w:pPr>
        <w:ind w:left="3377" w:hanging="825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69299C"/>
    <w:multiLevelType w:val="hybridMultilevel"/>
    <w:tmpl w:val="BAAE5938"/>
    <w:lvl w:ilvl="0" w:tplc="4BDC9B7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3AE23119"/>
    <w:multiLevelType w:val="hybridMultilevel"/>
    <w:tmpl w:val="4D448BEA"/>
    <w:lvl w:ilvl="0" w:tplc="ACE45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906C34"/>
    <w:multiLevelType w:val="hybridMultilevel"/>
    <w:tmpl w:val="662AB0FC"/>
    <w:lvl w:ilvl="0" w:tplc="D47A0DDE">
      <w:start w:val="1"/>
      <w:numFmt w:val="taiwaneseCountingThousand"/>
      <w:lvlText w:val="%1、"/>
      <w:lvlJc w:val="left"/>
      <w:pPr>
        <w:ind w:left="510" w:hanging="51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6F2BA2"/>
    <w:multiLevelType w:val="hybridMultilevel"/>
    <w:tmpl w:val="A010F80C"/>
    <w:lvl w:ilvl="0" w:tplc="4110938A">
      <w:start w:val="1"/>
      <w:numFmt w:val="taiwaneseCountingThousand"/>
      <w:lvlText w:val="(%1)"/>
      <w:lvlJc w:val="left"/>
      <w:pPr>
        <w:ind w:left="1026" w:hanging="60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6FFE3D89"/>
    <w:multiLevelType w:val="hybridMultilevel"/>
    <w:tmpl w:val="D27C722A"/>
    <w:lvl w:ilvl="0" w:tplc="E6BE9CC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E4681D"/>
    <w:multiLevelType w:val="hybridMultilevel"/>
    <w:tmpl w:val="D33E9B5A"/>
    <w:lvl w:ilvl="0" w:tplc="37168F74">
      <w:start w:val="1"/>
      <w:numFmt w:val="decimal"/>
      <w:lvlText w:val="%1."/>
      <w:lvlJc w:val="left"/>
      <w:pPr>
        <w:ind w:left="1637" w:hanging="36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FC70AC"/>
    <w:multiLevelType w:val="hybridMultilevel"/>
    <w:tmpl w:val="D422B78A"/>
    <w:lvl w:ilvl="0" w:tplc="8ECCAE5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129"/>
    <w:rsid w:val="00064CD2"/>
    <w:rsid w:val="00094129"/>
    <w:rsid w:val="00097532"/>
    <w:rsid w:val="000A5EBB"/>
    <w:rsid w:val="000F2C48"/>
    <w:rsid w:val="00160257"/>
    <w:rsid w:val="00163A8A"/>
    <w:rsid w:val="001755D4"/>
    <w:rsid w:val="001C745B"/>
    <w:rsid w:val="002A6E3F"/>
    <w:rsid w:val="00391277"/>
    <w:rsid w:val="0039601C"/>
    <w:rsid w:val="003D0D94"/>
    <w:rsid w:val="00425CDF"/>
    <w:rsid w:val="0046395F"/>
    <w:rsid w:val="00486243"/>
    <w:rsid w:val="00561B34"/>
    <w:rsid w:val="005F06A1"/>
    <w:rsid w:val="006929BE"/>
    <w:rsid w:val="006F3294"/>
    <w:rsid w:val="00745904"/>
    <w:rsid w:val="00792DCE"/>
    <w:rsid w:val="007A3BD7"/>
    <w:rsid w:val="007F72EE"/>
    <w:rsid w:val="00815290"/>
    <w:rsid w:val="00973420"/>
    <w:rsid w:val="00996FE3"/>
    <w:rsid w:val="009F35CF"/>
    <w:rsid w:val="00A66274"/>
    <w:rsid w:val="00A67F91"/>
    <w:rsid w:val="00AC5C4F"/>
    <w:rsid w:val="00B41A84"/>
    <w:rsid w:val="00B96B57"/>
    <w:rsid w:val="00BC3D92"/>
    <w:rsid w:val="00BF61F8"/>
    <w:rsid w:val="00C16AAA"/>
    <w:rsid w:val="00C6076A"/>
    <w:rsid w:val="00D50B69"/>
    <w:rsid w:val="00D76029"/>
    <w:rsid w:val="00DA2030"/>
    <w:rsid w:val="00DA5ED1"/>
    <w:rsid w:val="00DB7AC7"/>
    <w:rsid w:val="00E74BB5"/>
    <w:rsid w:val="00E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2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C5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C5C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C5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C5C4F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B7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B7AC7"/>
    <w:rPr>
      <w:rFonts w:ascii="細明體" w:eastAsia="細明體" w:hAnsi="細明體" w:cs="細明體"/>
      <w:color w:val="333333"/>
      <w:kern w:val="0"/>
      <w:szCs w:val="24"/>
    </w:rPr>
  </w:style>
  <w:style w:type="paragraph" w:customStyle="1" w:styleId="Default">
    <w:name w:val="Default"/>
    <w:rsid w:val="001C745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378</Words>
  <Characters>2155</Characters>
  <Application>Microsoft Office Word</Application>
  <DocSecurity>0</DocSecurity>
  <Lines>17</Lines>
  <Paragraphs>5</Paragraphs>
  <ScaleCrop>false</ScaleCrop>
  <Company>TWSE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</dc:creator>
  <cp:lastModifiedBy>0270</cp:lastModifiedBy>
  <cp:revision>3</cp:revision>
  <cp:lastPrinted>2013-12-12T08:25:00Z</cp:lastPrinted>
  <dcterms:created xsi:type="dcterms:W3CDTF">2014-06-20T08:20:00Z</dcterms:created>
  <dcterms:modified xsi:type="dcterms:W3CDTF">2016-07-11T06:35:00Z</dcterms:modified>
</cp:coreProperties>
</file>