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D0" w:rsidRDefault="005702BE" w:rsidP="00C8711E">
      <w:pPr>
        <w:tabs>
          <w:tab w:val="left" w:pos="8040"/>
        </w:tabs>
        <w:kinsoku w:val="0"/>
        <w:spacing w:line="380" w:lineRule="exact"/>
        <w:jc w:val="center"/>
        <w:rPr>
          <w:rFonts w:ascii="標楷體" w:eastAsia="標楷體"/>
          <w:b/>
          <w:sz w:val="28"/>
        </w:rPr>
      </w:pPr>
      <w:r>
        <w:rPr>
          <w:rFonts w:ascii="標楷體" w:eastAsia="標楷體" w:hint="eastAsia"/>
          <w:b/>
          <w:sz w:val="28"/>
        </w:rPr>
        <w:t>臺灣證券交易所股份有限公司</w:t>
      </w:r>
      <w:r w:rsidR="0007427B">
        <w:rPr>
          <w:rFonts w:ascii="標楷體" w:eastAsia="標楷體" w:hint="eastAsia"/>
          <w:b/>
          <w:sz w:val="28"/>
        </w:rPr>
        <w:t>有價證券借貸辦法</w:t>
      </w:r>
    </w:p>
    <w:p w:rsidR="00D71CAF" w:rsidRDefault="007E31E0">
      <w:pPr>
        <w:tabs>
          <w:tab w:val="left" w:pos="8040"/>
        </w:tabs>
        <w:kinsoku w:val="0"/>
        <w:spacing w:line="380" w:lineRule="exact"/>
        <w:jc w:val="center"/>
        <w:rPr>
          <w:rFonts w:ascii="標楷體" w:eastAsia="標楷體"/>
          <w:b/>
          <w:sz w:val="28"/>
        </w:rPr>
      </w:pPr>
      <w:r>
        <w:rPr>
          <w:rFonts w:ascii="標楷體" w:eastAsia="標楷體" w:hint="eastAsia"/>
          <w:b/>
          <w:sz w:val="28"/>
        </w:rPr>
        <w:t>第</w:t>
      </w:r>
      <w:r w:rsidR="0007427B">
        <w:rPr>
          <w:rFonts w:ascii="標楷體" w:eastAsia="標楷體" w:hint="eastAsia"/>
          <w:b/>
          <w:sz w:val="28"/>
        </w:rPr>
        <w:t>三</w:t>
      </w:r>
      <w:r>
        <w:rPr>
          <w:rFonts w:ascii="標楷體" w:eastAsia="標楷體" w:hint="eastAsia"/>
          <w:b/>
          <w:sz w:val="28"/>
        </w:rPr>
        <w:t>十</w:t>
      </w:r>
      <w:r w:rsidR="0007427B">
        <w:rPr>
          <w:rFonts w:ascii="標楷體" w:eastAsia="標楷體" w:hint="eastAsia"/>
          <w:b/>
          <w:sz w:val="28"/>
        </w:rPr>
        <w:t>六</w:t>
      </w:r>
      <w:r w:rsidR="00FC16C3">
        <w:rPr>
          <w:rFonts w:ascii="標楷體" w:eastAsia="標楷體" w:hint="eastAsia"/>
          <w:b/>
          <w:sz w:val="28"/>
        </w:rPr>
        <w:t>條</w:t>
      </w:r>
      <w:r w:rsidR="00C46524">
        <w:rPr>
          <w:rFonts w:ascii="標楷體" w:eastAsia="標楷體" w:hint="eastAsia"/>
          <w:b/>
          <w:sz w:val="28"/>
        </w:rPr>
        <w:t>修正</w:t>
      </w:r>
      <w:r w:rsidR="007B4229">
        <w:rPr>
          <w:rFonts w:ascii="標楷體" w:eastAsia="標楷體" w:hint="eastAsia"/>
          <w:b/>
          <w:sz w:val="28"/>
        </w:rPr>
        <w:t>條文</w:t>
      </w:r>
      <w:r w:rsidR="00556FE6">
        <w:rPr>
          <w:rFonts w:ascii="標楷體" w:eastAsia="標楷體" w:hint="eastAsia"/>
          <w:b/>
          <w:sz w:val="28"/>
        </w:rPr>
        <w:t>對照表</w:t>
      </w:r>
    </w:p>
    <w:p w:rsidR="00556FE6" w:rsidRDefault="00556FE6" w:rsidP="00C8711E">
      <w:pPr>
        <w:tabs>
          <w:tab w:val="left" w:pos="8040"/>
        </w:tabs>
        <w:kinsoku w:val="0"/>
        <w:spacing w:line="380" w:lineRule="exact"/>
        <w:jc w:val="both"/>
        <w:rPr>
          <w:rFonts w:ascii="標楷體" w:eastAsia="標楷體"/>
          <w:b/>
          <w:sz w:val="26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289"/>
        <w:gridCol w:w="3260"/>
        <w:gridCol w:w="3079"/>
      </w:tblGrid>
      <w:tr w:rsidR="00556FE6" w:rsidTr="003F285C">
        <w:trPr>
          <w:tblHeader/>
        </w:trPr>
        <w:tc>
          <w:tcPr>
            <w:tcW w:w="3289" w:type="dxa"/>
          </w:tcPr>
          <w:p w:rsidR="00556FE6" w:rsidRDefault="00556FE6" w:rsidP="00C8711E">
            <w:pPr>
              <w:tabs>
                <w:tab w:val="left" w:pos="8040"/>
              </w:tabs>
              <w:kinsoku w:val="0"/>
              <w:spacing w:line="38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修</w:t>
            </w:r>
            <w:r w:rsidR="00FA29E7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>正</w:t>
            </w:r>
            <w:r w:rsidR="00FA29E7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>條</w:t>
            </w:r>
            <w:r w:rsidR="00FA29E7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>文</w:t>
            </w:r>
          </w:p>
        </w:tc>
        <w:tc>
          <w:tcPr>
            <w:tcW w:w="3260" w:type="dxa"/>
          </w:tcPr>
          <w:p w:rsidR="00556FE6" w:rsidRDefault="00556FE6" w:rsidP="00C8711E">
            <w:pPr>
              <w:tabs>
                <w:tab w:val="left" w:pos="8040"/>
              </w:tabs>
              <w:kinsoku w:val="0"/>
              <w:spacing w:line="38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現</w:t>
            </w:r>
            <w:r w:rsidR="00FA29E7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>行</w:t>
            </w:r>
            <w:r w:rsidR="00FA29E7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>條</w:t>
            </w:r>
            <w:r w:rsidR="00FA29E7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>文</w:t>
            </w:r>
          </w:p>
        </w:tc>
        <w:tc>
          <w:tcPr>
            <w:tcW w:w="3079" w:type="dxa"/>
          </w:tcPr>
          <w:p w:rsidR="00556FE6" w:rsidRDefault="00556FE6" w:rsidP="00C8711E">
            <w:pPr>
              <w:tabs>
                <w:tab w:val="left" w:pos="8040"/>
              </w:tabs>
              <w:kinsoku w:val="0"/>
              <w:spacing w:line="38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說</w:t>
            </w:r>
            <w:r w:rsidR="00FA29E7">
              <w:rPr>
                <w:rFonts w:ascii="標楷體" w:eastAsia="標楷體" w:hint="eastAsia"/>
              </w:rPr>
              <w:t xml:space="preserve">       </w:t>
            </w:r>
            <w:r>
              <w:rPr>
                <w:rFonts w:ascii="標楷體" w:eastAsia="標楷體" w:hint="eastAsia"/>
              </w:rPr>
              <w:t>明</w:t>
            </w:r>
          </w:p>
        </w:tc>
      </w:tr>
      <w:tr w:rsidR="000E2B4D" w:rsidTr="003F285C">
        <w:tc>
          <w:tcPr>
            <w:tcW w:w="3289" w:type="dxa"/>
          </w:tcPr>
          <w:p w:rsidR="000E2B4D" w:rsidRDefault="000E2B4D" w:rsidP="000C074A">
            <w:pPr>
              <w:kinsoku w:val="0"/>
              <w:overflowPunct w:val="0"/>
              <w:spacing w:line="380" w:lineRule="exact"/>
              <w:ind w:left="240" w:hanging="240"/>
              <w:jc w:val="both"/>
              <w:rPr>
                <w:rFonts w:ascii="標楷體" w:eastAsia="標楷體"/>
              </w:rPr>
            </w:pPr>
            <w:r w:rsidRPr="00EF2A3C">
              <w:rPr>
                <w:rFonts w:ascii="標楷體" w:eastAsia="標楷體" w:hint="eastAsia"/>
              </w:rPr>
              <w:t>第</w:t>
            </w:r>
            <w:r>
              <w:rPr>
                <w:rFonts w:ascii="標楷體" w:eastAsia="標楷體" w:hint="eastAsia"/>
              </w:rPr>
              <w:t>三十六</w:t>
            </w:r>
            <w:r w:rsidRPr="00EF2A3C">
              <w:rPr>
                <w:rFonts w:ascii="標楷體" w:eastAsia="標楷體" w:hint="eastAsia"/>
              </w:rPr>
              <w:t>條</w:t>
            </w:r>
          </w:p>
          <w:p w:rsidR="000E2B4D" w:rsidRDefault="000E2B4D" w:rsidP="00B64FC4">
            <w:pPr>
              <w:kinsoku w:val="0"/>
              <w:overflowPunct w:val="0"/>
              <w:spacing w:line="380" w:lineRule="exact"/>
              <w:ind w:firstLineChars="200" w:firstLine="480"/>
              <w:jc w:val="both"/>
              <w:rPr>
                <w:rFonts w:ascii="標楷體" w:eastAsia="標楷體"/>
              </w:rPr>
            </w:pPr>
            <w:r w:rsidRPr="0007427B">
              <w:rPr>
                <w:rFonts w:ascii="標楷體" w:eastAsia="標楷體" w:hint="eastAsia"/>
              </w:rPr>
              <w:t>定價、競價交易之出借人因出借標的證券而未取得之股息、紅利或其他利益等，借</w:t>
            </w:r>
            <w:proofErr w:type="gramStart"/>
            <w:r w:rsidRPr="0007427B">
              <w:rPr>
                <w:rFonts w:ascii="標楷體" w:eastAsia="標楷體" w:hint="eastAsia"/>
              </w:rPr>
              <w:t>券</w:t>
            </w:r>
            <w:proofErr w:type="gramEnd"/>
            <w:r w:rsidRPr="0007427B">
              <w:rPr>
                <w:rFonts w:ascii="標楷體" w:eastAsia="標楷體" w:hint="eastAsia"/>
              </w:rPr>
              <w:t>人應經由證券商透過本公司借</w:t>
            </w:r>
            <w:proofErr w:type="gramStart"/>
            <w:r w:rsidRPr="0007427B">
              <w:rPr>
                <w:rFonts w:ascii="標楷體" w:eastAsia="標楷體" w:hint="eastAsia"/>
              </w:rPr>
              <w:t>券</w:t>
            </w:r>
            <w:proofErr w:type="gramEnd"/>
            <w:r w:rsidRPr="0007427B">
              <w:rPr>
                <w:rFonts w:ascii="標楷體" w:eastAsia="標楷體" w:hint="eastAsia"/>
              </w:rPr>
              <w:t>系統，依下列方式償還出借人</w:t>
            </w:r>
            <w:r w:rsidRPr="004A427E">
              <w:rPr>
                <w:rFonts w:ascii="標楷體" w:eastAsia="標楷體" w:hint="eastAsia"/>
              </w:rPr>
              <w:t>：</w:t>
            </w:r>
          </w:p>
          <w:p w:rsidR="000E2B4D" w:rsidRPr="001F02E0" w:rsidRDefault="000E2B4D" w:rsidP="00B64FC4">
            <w:pPr>
              <w:kinsoku w:val="0"/>
              <w:overflowPunct w:val="0"/>
              <w:spacing w:line="380" w:lineRule="exact"/>
              <w:ind w:left="600" w:hangingChars="250" w:hanging="60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(第一款至第二款略)</w:t>
            </w:r>
          </w:p>
          <w:p w:rsidR="000E2B4D" w:rsidRDefault="000E2B4D" w:rsidP="00B64FC4">
            <w:pPr>
              <w:kinsoku w:val="0"/>
              <w:overflowPunct w:val="0"/>
              <w:spacing w:line="380" w:lineRule="exact"/>
              <w:ind w:left="480" w:hangingChars="200" w:hanging="480"/>
              <w:jc w:val="both"/>
              <w:rPr>
                <w:rFonts w:ascii="標楷體" w:eastAsia="標楷體"/>
              </w:rPr>
            </w:pPr>
            <w:r w:rsidRPr="000E2B4D">
              <w:rPr>
                <w:rFonts w:ascii="標楷體" w:eastAsia="標楷體" w:hint="eastAsia"/>
              </w:rPr>
              <w:t>三、</w:t>
            </w:r>
            <w:r w:rsidRPr="00CD7F96">
              <w:rPr>
                <w:rFonts w:ascii="標楷體" w:eastAsia="標楷體" w:hint="eastAsia"/>
                <w:b/>
              </w:rPr>
              <w:t>新發行有價證券認購權利</w:t>
            </w:r>
          </w:p>
          <w:p w:rsidR="000E2B4D" w:rsidRPr="000E2B4D" w:rsidRDefault="000E2B4D" w:rsidP="00B64FC4">
            <w:pPr>
              <w:kinsoku w:val="0"/>
              <w:overflowPunct w:val="0"/>
              <w:spacing w:line="380" w:lineRule="exact"/>
              <w:ind w:leftChars="100" w:left="600" w:hangingChars="150" w:hanging="360"/>
              <w:jc w:val="both"/>
              <w:rPr>
                <w:rFonts w:ascii="標楷體" w:eastAsia="標楷體"/>
              </w:rPr>
            </w:pPr>
            <w:r w:rsidRPr="000E2B4D">
              <w:rPr>
                <w:rFonts w:ascii="標楷體" w:eastAsia="標楷體" w:hint="eastAsia"/>
              </w:rPr>
              <w:t>（一）本公司於新發行有價證券認購期限屆滿前五</w:t>
            </w:r>
            <w:proofErr w:type="gramStart"/>
            <w:r w:rsidRPr="000E2B4D">
              <w:rPr>
                <w:rFonts w:ascii="標楷體" w:eastAsia="標楷體" w:hint="eastAsia"/>
              </w:rPr>
              <w:t>個</w:t>
            </w:r>
            <w:proofErr w:type="gramEnd"/>
            <w:r w:rsidRPr="000E2B4D">
              <w:rPr>
                <w:rFonts w:ascii="標楷體" w:eastAsia="標楷體" w:hint="eastAsia"/>
              </w:rPr>
              <w:t>營業日，經由證券商通知出借人，出借人應於認購期限屆滿前三</w:t>
            </w:r>
            <w:proofErr w:type="gramStart"/>
            <w:r w:rsidRPr="000E2B4D">
              <w:rPr>
                <w:rFonts w:ascii="標楷體" w:eastAsia="標楷體" w:hint="eastAsia"/>
              </w:rPr>
              <w:t>個</w:t>
            </w:r>
            <w:proofErr w:type="gramEnd"/>
            <w:r w:rsidRPr="000E2B4D">
              <w:rPr>
                <w:rFonts w:ascii="標楷體" w:eastAsia="標楷體" w:hint="eastAsia"/>
              </w:rPr>
              <w:t>營業日經由證券商向本公司表示認購意思，並將價款經由證券商存入本公司指定銀行帳戶，由本公司借</w:t>
            </w:r>
            <w:proofErr w:type="gramStart"/>
            <w:r w:rsidRPr="000E2B4D">
              <w:rPr>
                <w:rFonts w:ascii="標楷體" w:eastAsia="標楷體" w:hint="eastAsia"/>
              </w:rPr>
              <w:t>券</w:t>
            </w:r>
            <w:proofErr w:type="gramEnd"/>
            <w:r w:rsidRPr="000E2B4D">
              <w:rPr>
                <w:rFonts w:ascii="標楷體" w:eastAsia="標楷體" w:hint="eastAsia"/>
              </w:rPr>
              <w:t>系統透過證券商轉交借</w:t>
            </w:r>
            <w:proofErr w:type="gramStart"/>
            <w:r w:rsidRPr="000E2B4D">
              <w:rPr>
                <w:rFonts w:ascii="標楷體" w:eastAsia="標楷體" w:hint="eastAsia"/>
              </w:rPr>
              <w:t>券</w:t>
            </w:r>
            <w:proofErr w:type="gramEnd"/>
            <w:r w:rsidRPr="000E2B4D">
              <w:rPr>
                <w:rFonts w:ascii="標楷體" w:eastAsia="標楷體" w:hint="eastAsia"/>
              </w:rPr>
              <w:t>人代為認購或於市場補回。</w:t>
            </w:r>
          </w:p>
          <w:p w:rsidR="000E2B4D" w:rsidRPr="000E2B4D" w:rsidRDefault="000E2B4D" w:rsidP="00B64FC4">
            <w:pPr>
              <w:kinsoku w:val="0"/>
              <w:overflowPunct w:val="0"/>
              <w:spacing w:line="380" w:lineRule="exact"/>
              <w:ind w:leftChars="100" w:left="600" w:hangingChars="150" w:hanging="360"/>
              <w:jc w:val="both"/>
              <w:rPr>
                <w:rFonts w:ascii="標楷體" w:eastAsia="標楷體"/>
              </w:rPr>
            </w:pPr>
            <w:r w:rsidRPr="000E2B4D">
              <w:rPr>
                <w:rFonts w:ascii="標楷體" w:eastAsia="標楷體" w:hint="eastAsia"/>
              </w:rPr>
              <w:t>（二）本公司於新發行有價證券發放日之三個營業日前經由證券商通知借</w:t>
            </w:r>
            <w:proofErr w:type="gramStart"/>
            <w:r w:rsidRPr="000E2B4D">
              <w:rPr>
                <w:rFonts w:ascii="標楷體" w:eastAsia="標楷體" w:hint="eastAsia"/>
              </w:rPr>
              <w:t>券</w:t>
            </w:r>
            <w:proofErr w:type="gramEnd"/>
            <w:r w:rsidRPr="000E2B4D">
              <w:rPr>
                <w:rFonts w:ascii="標楷體" w:eastAsia="標楷體" w:hint="eastAsia"/>
              </w:rPr>
              <w:t>人，借</w:t>
            </w:r>
            <w:proofErr w:type="gramStart"/>
            <w:r w:rsidRPr="000E2B4D">
              <w:rPr>
                <w:rFonts w:ascii="標楷體" w:eastAsia="標楷體" w:hint="eastAsia"/>
              </w:rPr>
              <w:t>券</w:t>
            </w:r>
            <w:proofErr w:type="gramEnd"/>
            <w:r w:rsidRPr="000E2B4D">
              <w:rPr>
                <w:rFonts w:ascii="標楷體" w:eastAsia="標楷體" w:hint="eastAsia"/>
              </w:rPr>
              <w:t>人必須在發放日起三個營業日內，經由證券商透過本公司借</w:t>
            </w:r>
            <w:proofErr w:type="gramStart"/>
            <w:r w:rsidRPr="000E2B4D">
              <w:rPr>
                <w:rFonts w:ascii="標楷體" w:eastAsia="標楷體" w:hint="eastAsia"/>
              </w:rPr>
              <w:t>券</w:t>
            </w:r>
            <w:proofErr w:type="gramEnd"/>
            <w:r w:rsidRPr="000E2B4D">
              <w:rPr>
                <w:rFonts w:ascii="標楷體" w:eastAsia="標楷體" w:hint="eastAsia"/>
              </w:rPr>
              <w:t>系統轉知證券集保事業，自借</w:t>
            </w:r>
            <w:proofErr w:type="gramStart"/>
            <w:r w:rsidRPr="000E2B4D">
              <w:rPr>
                <w:rFonts w:ascii="標楷體" w:eastAsia="標楷體" w:hint="eastAsia"/>
              </w:rPr>
              <w:t>券</w:t>
            </w:r>
            <w:proofErr w:type="gramEnd"/>
            <w:r w:rsidRPr="000E2B4D">
              <w:rPr>
                <w:rFonts w:ascii="標楷體" w:eastAsia="標楷體" w:hint="eastAsia"/>
              </w:rPr>
              <w:t>人之證券集保帳戶中撥付出借人。</w:t>
            </w:r>
          </w:p>
          <w:p w:rsidR="000E2B4D" w:rsidRPr="000E2B4D" w:rsidRDefault="000E2B4D" w:rsidP="00B64FC4">
            <w:pPr>
              <w:kinsoku w:val="0"/>
              <w:overflowPunct w:val="0"/>
              <w:spacing w:line="380" w:lineRule="exact"/>
              <w:ind w:leftChars="100" w:left="600" w:hangingChars="150" w:hanging="360"/>
              <w:jc w:val="both"/>
              <w:rPr>
                <w:rFonts w:ascii="標楷體" w:eastAsia="標楷體"/>
              </w:rPr>
            </w:pPr>
            <w:r w:rsidRPr="000E2B4D">
              <w:rPr>
                <w:rFonts w:ascii="標楷體" w:eastAsia="標楷體" w:hint="eastAsia"/>
              </w:rPr>
              <w:t>（三）若出借人逾期或未表示認購意思，或表明認購意思後未於規定期限內</w:t>
            </w:r>
            <w:r w:rsidRPr="000E2B4D">
              <w:rPr>
                <w:rFonts w:ascii="標楷體" w:eastAsia="標楷體" w:hint="eastAsia"/>
              </w:rPr>
              <w:lastRenderedPageBreak/>
              <w:t>繳交認購價款，即視同放棄新股認購權利。</w:t>
            </w:r>
          </w:p>
          <w:p w:rsidR="0035018C" w:rsidRDefault="0035018C" w:rsidP="00B64FC4">
            <w:pPr>
              <w:kinsoku w:val="0"/>
              <w:overflowPunct w:val="0"/>
              <w:spacing w:line="380" w:lineRule="exact"/>
              <w:ind w:firstLineChars="200" w:firstLine="48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u w:val="single"/>
              </w:rPr>
              <w:t>定價、競價交易之</w:t>
            </w:r>
            <w:r w:rsidRPr="004418F6">
              <w:rPr>
                <w:rFonts w:ascii="標楷體" w:eastAsia="標楷體" w:hint="eastAsia"/>
                <w:u w:val="single"/>
              </w:rPr>
              <w:t>出借人</w:t>
            </w:r>
            <w:r>
              <w:rPr>
                <w:rFonts w:ascii="標楷體" w:eastAsia="標楷體" w:hint="eastAsia"/>
                <w:u w:val="single"/>
              </w:rPr>
              <w:t>欲</w:t>
            </w:r>
            <w:r w:rsidRPr="004418F6">
              <w:rPr>
                <w:rFonts w:ascii="標楷體" w:eastAsia="標楷體" w:hint="eastAsia"/>
                <w:u w:val="single"/>
              </w:rPr>
              <w:t>行使</w:t>
            </w:r>
            <w:r>
              <w:rPr>
                <w:rFonts w:ascii="標楷體" w:eastAsia="標楷體" w:hint="eastAsia"/>
                <w:u w:val="single"/>
              </w:rPr>
              <w:t>第一項第三款之</w:t>
            </w:r>
            <w:r w:rsidRPr="002763EB">
              <w:rPr>
                <w:rFonts w:ascii="標楷體" w:eastAsia="標楷體" w:hint="eastAsia"/>
                <w:u w:val="single"/>
              </w:rPr>
              <w:t>新發行有價證券認購權利</w:t>
            </w:r>
            <w:r>
              <w:rPr>
                <w:rFonts w:ascii="標楷體" w:eastAsia="標楷體" w:hint="eastAsia"/>
                <w:u w:val="single"/>
              </w:rPr>
              <w:t>時，如認購股份為</w:t>
            </w:r>
            <w:r w:rsidRPr="002763EB">
              <w:rPr>
                <w:rFonts w:ascii="標楷體" w:eastAsia="標楷體" w:hint="eastAsia"/>
                <w:u w:val="single"/>
              </w:rPr>
              <w:t>標的證券</w:t>
            </w:r>
            <w:r>
              <w:rPr>
                <w:rFonts w:ascii="標楷體" w:eastAsia="標楷體" w:hint="eastAsia"/>
                <w:u w:val="single"/>
              </w:rPr>
              <w:t>發行公司之特別股，或未上市(櫃)</w:t>
            </w:r>
            <w:r w:rsidRPr="000F52C3">
              <w:rPr>
                <w:rFonts w:ascii="標楷體" w:eastAsia="標楷體" w:hint="eastAsia"/>
                <w:u w:val="single"/>
              </w:rPr>
              <w:t>證券發行</w:t>
            </w:r>
            <w:r>
              <w:rPr>
                <w:rFonts w:ascii="標楷體" w:eastAsia="標楷體" w:hint="eastAsia"/>
                <w:u w:val="single"/>
              </w:rPr>
              <w:t>公司之新股者，應於</w:t>
            </w:r>
            <w:r w:rsidRPr="004418F6">
              <w:rPr>
                <w:rFonts w:ascii="標楷體" w:eastAsia="標楷體" w:hint="eastAsia"/>
                <w:u w:val="single"/>
              </w:rPr>
              <w:t>最後過戶日前</w:t>
            </w:r>
            <w:r w:rsidRPr="000F4769">
              <w:rPr>
                <w:rFonts w:ascii="標楷體" w:eastAsia="標楷體" w:hint="eastAsia"/>
                <w:u w:val="single"/>
              </w:rPr>
              <w:t>提出提前還</w:t>
            </w:r>
            <w:proofErr w:type="gramStart"/>
            <w:r w:rsidRPr="000F4769">
              <w:rPr>
                <w:rFonts w:ascii="標楷體" w:eastAsia="標楷體" w:hint="eastAsia"/>
                <w:u w:val="single"/>
              </w:rPr>
              <w:t>券</w:t>
            </w:r>
            <w:proofErr w:type="gramEnd"/>
            <w:r w:rsidRPr="000F4769">
              <w:rPr>
                <w:rFonts w:ascii="標楷體" w:eastAsia="標楷體" w:hint="eastAsia"/>
                <w:u w:val="single"/>
              </w:rPr>
              <w:t>要求</w:t>
            </w:r>
            <w:r w:rsidRPr="004418F6">
              <w:rPr>
                <w:rFonts w:ascii="標楷體" w:eastAsia="標楷體" w:hint="eastAsia"/>
                <w:u w:val="single"/>
              </w:rPr>
              <w:t>，</w:t>
            </w:r>
            <w:r>
              <w:rPr>
                <w:rFonts w:ascii="標楷體" w:eastAsia="標楷體" w:hint="eastAsia"/>
                <w:u w:val="single"/>
              </w:rPr>
              <w:t>自行參與認購</w:t>
            </w:r>
            <w:r w:rsidR="0035439C">
              <w:rPr>
                <w:rFonts w:ascii="標楷體" w:eastAsia="標楷體" w:hint="eastAsia"/>
                <w:u w:val="single"/>
              </w:rPr>
              <w:t>，</w:t>
            </w:r>
            <w:r w:rsidR="00447A67" w:rsidRPr="00447A67">
              <w:rPr>
                <w:rFonts w:ascii="標楷體" w:eastAsia="標楷體" w:hint="eastAsia"/>
                <w:u w:val="single"/>
              </w:rPr>
              <w:t>否則視同放棄新股認購權利</w:t>
            </w:r>
            <w:r>
              <w:rPr>
                <w:rFonts w:ascii="標楷體" w:eastAsia="標楷體" w:hint="eastAsia"/>
                <w:u w:val="single"/>
              </w:rPr>
              <w:t>。</w:t>
            </w:r>
          </w:p>
          <w:p w:rsidR="000E2B4D" w:rsidRDefault="000E2B4D" w:rsidP="00B64FC4">
            <w:pPr>
              <w:kinsoku w:val="0"/>
              <w:overflowPunct w:val="0"/>
              <w:spacing w:line="380" w:lineRule="exact"/>
              <w:ind w:firstLineChars="200" w:firstLine="480"/>
              <w:jc w:val="both"/>
              <w:rPr>
                <w:rFonts w:ascii="標楷體" w:eastAsia="標楷體"/>
              </w:rPr>
            </w:pPr>
            <w:proofErr w:type="gramStart"/>
            <w:r w:rsidRPr="002763EB">
              <w:rPr>
                <w:rFonts w:ascii="標楷體" w:eastAsia="標楷體" w:hint="eastAsia"/>
              </w:rPr>
              <w:t>議借交易</w:t>
            </w:r>
            <w:proofErr w:type="gramEnd"/>
            <w:r w:rsidRPr="002763EB">
              <w:rPr>
                <w:rFonts w:ascii="標楷體" w:eastAsia="標楷體" w:hint="eastAsia"/>
              </w:rPr>
              <w:t>出借人因出借有價證券而未取得之現金權益、有價證券權益</w:t>
            </w:r>
            <w:r w:rsidRPr="0035018C">
              <w:rPr>
                <w:rFonts w:ascii="標楷體" w:eastAsia="標楷體" w:hint="eastAsia"/>
              </w:rPr>
              <w:t>、</w:t>
            </w:r>
            <w:r w:rsidR="00447A67" w:rsidRPr="00447A67">
              <w:rPr>
                <w:rFonts w:ascii="標楷體" w:eastAsia="標楷體" w:hint="eastAsia"/>
              </w:rPr>
              <w:t>新發行有價證券認購權利</w:t>
            </w:r>
            <w:r w:rsidRPr="0035018C">
              <w:rPr>
                <w:rFonts w:ascii="標楷體" w:eastAsia="標楷體" w:hint="eastAsia"/>
              </w:rPr>
              <w:t>，</w:t>
            </w:r>
            <w:r w:rsidRPr="002763EB">
              <w:rPr>
                <w:rFonts w:ascii="標楷體" w:eastAsia="標楷體" w:hint="eastAsia"/>
              </w:rPr>
              <w:t>及股權之行使等，由借</w:t>
            </w:r>
            <w:proofErr w:type="gramStart"/>
            <w:r w:rsidRPr="002763EB">
              <w:rPr>
                <w:rFonts w:ascii="標楷體" w:eastAsia="標楷體" w:hint="eastAsia"/>
              </w:rPr>
              <w:t>券</w:t>
            </w:r>
            <w:proofErr w:type="gramEnd"/>
            <w:r w:rsidRPr="002763EB">
              <w:rPr>
                <w:rFonts w:ascii="標楷體" w:eastAsia="標楷體" w:hint="eastAsia"/>
              </w:rPr>
              <w:t>人與</w:t>
            </w:r>
            <w:r>
              <w:rPr>
                <w:rFonts w:ascii="標楷體" w:eastAsia="標楷體" w:hint="eastAsia"/>
              </w:rPr>
              <w:t>出借人</w:t>
            </w:r>
            <w:r w:rsidRPr="002763EB">
              <w:rPr>
                <w:rFonts w:ascii="標楷體" w:eastAsia="標楷體" w:hint="eastAsia"/>
              </w:rPr>
              <w:t>雙方自行議定處理。其權益屬有價證券者，由本公司依借</w:t>
            </w:r>
            <w:proofErr w:type="gramStart"/>
            <w:r w:rsidRPr="002763EB">
              <w:rPr>
                <w:rFonts w:ascii="標楷體" w:eastAsia="標楷體" w:hint="eastAsia"/>
              </w:rPr>
              <w:t>券</w:t>
            </w:r>
            <w:proofErr w:type="gramEnd"/>
            <w:r w:rsidRPr="002763EB">
              <w:rPr>
                <w:rFonts w:ascii="標楷體" w:eastAsia="標楷體" w:hint="eastAsia"/>
              </w:rPr>
              <w:t>人借入標的證券尚未還</w:t>
            </w:r>
            <w:proofErr w:type="gramStart"/>
            <w:r w:rsidRPr="002763EB">
              <w:rPr>
                <w:rFonts w:ascii="標楷體" w:eastAsia="標楷體" w:hint="eastAsia"/>
              </w:rPr>
              <w:t>券</w:t>
            </w:r>
            <w:proofErr w:type="gramEnd"/>
            <w:r w:rsidRPr="002763EB">
              <w:rPr>
                <w:rFonts w:ascii="標楷體" w:eastAsia="標楷體" w:hint="eastAsia"/>
              </w:rPr>
              <w:t>部分計算，但借</w:t>
            </w:r>
            <w:proofErr w:type="gramStart"/>
            <w:r w:rsidRPr="002763EB">
              <w:rPr>
                <w:rFonts w:ascii="標楷體" w:eastAsia="標楷體" w:hint="eastAsia"/>
              </w:rPr>
              <w:t>券</w:t>
            </w:r>
            <w:proofErr w:type="gramEnd"/>
            <w:r w:rsidRPr="002763EB">
              <w:rPr>
                <w:rFonts w:ascii="標楷體" w:eastAsia="標楷體" w:hint="eastAsia"/>
              </w:rPr>
              <w:t>人尚未償還之有價證券權益不納入計算。前述有價證券權益若需</w:t>
            </w:r>
            <w:proofErr w:type="gramStart"/>
            <w:r w:rsidRPr="002763EB">
              <w:rPr>
                <w:rFonts w:ascii="標楷體" w:eastAsia="標楷體" w:hint="eastAsia"/>
              </w:rPr>
              <w:t>撥轉應經由</w:t>
            </w:r>
            <w:proofErr w:type="gramEnd"/>
            <w:r w:rsidRPr="002763EB">
              <w:rPr>
                <w:rFonts w:ascii="標楷體" w:eastAsia="標楷體" w:hint="eastAsia"/>
              </w:rPr>
              <w:t>本公司借</w:t>
            </w:r>
            <w:proofErr w:type="gramStart"/>
            <w:r w:rsidRPr="002763EB">
              <w:rPr>
                <w:rFonts w:ascii="標楷體" w:eastAsia="標楷體" w:hint="eastAsia"/>
              </w:rPr>
              <w:t>券</w:t>
            </w:r>
            <w:proofErr w:type="gramEnd"/>
            <w:r w:rsidRPr="002763EB">
              <w:rPr>
                <w:rFonts w:ascii="標楷體" w:eastAsia="標楷體" w:hint="eastAsia"/>
              </w:rPr>
              <w:t>系統為之。</w:t>
            </w:r>
          </w:p>
          <w:p w:rsidR="00911350" w:rsidRDefault="00911350" w:rsidP="00B64FC4">
            <w:pPr>
              <w:kinsoku w:val="0"/>
              <w:overflowPunct w:val="0"/>
              <w:spacing w:line="380" w:lineRule="exact"/>
              <w:ind w:firstLineChars="200" w:firstLine="480"/>
              <w:jc w:val="both"/>
              <w:rPr>
                <w:rFonts w:ascii="標楷體" w:eastAsia="標楷體"/>
                <w:u w:val="single"/>
              </w:rPr>
            </w:pPr>
          </w:p>
          <w:p w:rsidR="00717BB1" w:rsidRDefault="00717BB1">
            <w:pPr>
              <w:kinsoku w:val="0"/>
              <w:overflowPunct w:val="0"/>
              <w:spacing w:line="380" w:lineRule="exact"/>
              <w:ind w:leftChars="200" w:left="991" w:hangingChars="213" w:hanging="511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3260" w:type="dxa"/>
          </w:tcPr>
          <w:p w:rsidR="000E2B4D" w:rsidRDefault="000E2B4D" w:rsidP="003E3375">
            <w:pPr>
              <w:kinsoku w:val="0"/>
              <w:overflowPunct w:val="0"/>
              <w:spacing w:line="380" w:lineRule="exact"/>
              <w:ind w:left="240" w:hanging="240"/>
              <w:jc w:val="both"/>
              <w:rPr>
                <w:rFonts w:ascii="標楷體" w:eastAsia="標楷體"/>
              </w:rPr>
            </w:pPr>
            <w:r w:rsidRPr="00EF2A3C">
              <w:rPr>
                <w:rFonts w:ascii="標楷體" w:eastAsia="標楷體" w:hint="eastAsia"/>
              </w:rPr>
              <w:lastRenderedPageBreak/>
              <w:t>第</w:t>
            </w:r>
            <w:r>
              <w:rPr>
                <w:rFonts w:ascii="標楷體" w:eastAsia="標楷體" w:hint="eastAsia"/>
              </w:rPr>
              <w:t>三十六</w:t>
            </w:r>
            <w:r w:rsidRPr="00EF2A3C">
              <w:rPr>
                <w:rFonts w:ascii="標楷體" w:eastAsia="標楷體" w:hint="eastAsia"/>
              </w:rPr>
              <w:t>條</w:t>
            </w:r>
          </w:p>
          <w:p w:rsidR="000E2B4D" w:rsidRDefault="000E2B4D" w:rsidP="00B64FC4">
            <w:pPr>
              <w:kinsoku w:val="0"/>
              <w:overflowPunct w:val="0"/>
              <w:spacing w:line="380" w:lineRule="exact"/>
              <w:ind w:firstLineChars="200" w:firstLine="480"/>
              <w:jc w:val="both"/>
              <w:rPr>
                <w:rFonts w:ascii="標楷體" w:eastAsia="標楷體"/>
              </w:rPr>
            </w:pPr>
            <w:r w:rsidRPr="0007427B">
              <w:rPr>
                <w:rFonts w:ascii="標楷體" w:eastAsia="標楷體" w:hint="eastAsia"/>
              </w:rPr>
              <w:t>定價、競價交易之出借人因出借標的證券而未取得之股息、紅利或其他利益等，借</w:t>
            </w:r>
            <w:proofErr w:type="gramStart"/>
            <w:r w:rsidRPr="0007427B">
              <w:rPr>
                <w:rFonts w:ascii="標楷體" w:eastAsia="標楷體" w:hint="eastAsia"/>
              </w:rPr>
              <w:t>券</w:t>
            </w:r>
            <w:proofErr w:type="gramEnd"/>
            <w:r w:rsidRPr="0007427B">
              <w:rPr>
                <w:rFonts w:ascii="標楷體" w:eastAsia="標楷體" w:hint="eastAsia"/>
              </w:rPr>
              <w:t>人應經由證券商透過本公司借</w:t>
            </w:r>
            <w:proofErr w:type="gramStart"/>
            <w:r w:rsidRPr="0007427B">
              <w:rPr>
                <w:rFonts w:ascii="標楷體" w:eastAsia="標楷體" w:hint="eastAsia"/>
              </w:rPr>
              <w:t>券</w:t>
            </w:r>
            <w:proofErr w:type="gramEnd"/>
            <w:r w:rsidRPr="0007427B">
              <w:rPr>
                <w:rFonts w:ascii="標楷體" w:eastAsia="標楷體" w:hint="eastAsia"/>
              </w:rPr>
              <w:t>系統，依下列方式償還出借人</w:t>
            </w:r>
            <w:r w:rsidRPr="004A427E">
              <w:rPr>
                <w:rFonts w:ascii="標楷體" w:eastAsia="標楷體" w:hint="eastAsia"/>
              </w:rPr>
              <w:t>：</w:t>
            </w:r>
          </w:p>
          <w:p w:rsidR="000E2B4D" w:rsidRPr="001F02E0" w:rsidRDefault="000E2B4D" w:rsidP="00B64FC4">
            <w:pPr>
              <w:kinsoku w:val="0"/>
              <w:overflowPunct w:val="0"/>
              <w:spacing w:line="380" w:lineRule="exact"/>
              <w:ind w:left="600" w:hangingChars="250" w:hanging="60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(第一款至第二款略)</w:t>
            </w:r>
          </w:p>
          <w:p w:rsidR="000E2B4D" w:rsidRPr="009E2D0F" w:rsidRDefault="000E2B4D" w:rsidP="00B64FC4">
            <w:pPr>
              <w:kinsoku w:val="0"/>
              <w:overflowPunct w:val="0"/>
              <w:spacing w:line="380" w:lineRule="exact"/>
              <w:ind w:left="480" w:hangingChars="200" w:hanging="480"/>
              <w:jc w:val="both"/>
              <w:rPr>
                <w:rFonts w:ascii="標楷體" w:eastAsia="標楷體"/>
                <w:b/>
              </w:rPr>
            </w:pPr>
            <w:r w:rsidRPr="009E2D0F">
              <w:rPr>
                <w:rFonts w:ascii="標楷體" w:eastAsia="標楷體" w:hint="eastAsia"/>
                <w:b/>
              </w:rPr>
              <w:t>三、新發行有價證券認購權利</w:t>
            </w:r>
          </w:p>
          <w:p w:rsidR="000E2B4D" w:rsidRPr="000E2B4D" w:rsidRDefault="000E2B4D" w:rsidP="00B64FC4">
            <w:pPr>
              <w:kinsoku w:val="0"/>
              <w:overflowPunct w:val="0"/>
              <w:spacing w:line="380" w:lineRule="exact"/>
              <w:ind w:leftChars="100" w:left="600" w:hangingChars="150" w:hanging="360"/>
              <w:jc w:val="both"/>
              <w:rPr>
                <w:rFonts w:ascii="標楷體" w:eastAsia="標楷體"/>
              </w:rPr>
            </w:pPr>
            <w:r w:rsidRPr="000E2B4D">
              <w:rPr>
                <w:rFonts w:ascii="標楷體" w:eastAsia="標楷體" w:hint="eastAsia"/>
              </w:rPr>
              <w:t>（一）本公司於新發行有價證券認購期限屆滿前五</w:t>
            </w:r>
            <w:proofErr w:type="gramStart"/>
            <w:r w:rsidRPr="000E2B4D">
              <w:rPr>
                <w:rFonts w:ascii="標楷體" w:eastAsia="標楷體" w:hint="eastAsia"/>
              </w:rPr>
              <w:t>個</w:t>
            </w:r>
            <w:proofErr w:type="gramEnd"/>
            <w:r w:rsidRPr="000E2B4D">
              <w:rPr>
                <w:rFonts w:ascii="標楷體" w:eastAsia="標楷體" w:hint="eastAsia"/>
              </w:rPr>
              <w:t>營業日，經由證券商通知出借人，出借人應於認購期限屆滿前三</w:t>
            </w:r>
            <w:proofErr w:type="gramStart"/>
            <w:r w:rsidRPr="000E2B4D">
              <w:rPr>
                <w:rFonts w:ascii="標楷體" w:eastAsia="標楷體" w:hint="eastAsia"/>
              </w:rPr>
              <w:t>個</w:t>
            </w:r>
            <w:proofErr w:type="gramEnd"/>
            <w:r w:rsidRPr="000E2B4D">
              <w:rPr>
                <w:rFonts w:ascii="標楷體" w:eastAsia="標楷體" w:hint="eastAsia"/>
              </w:rPr>
              <w:t>營業日經由證券商向本公司表示認購意思，並將價款經由證券商存入本公司指定銀行帳戶，由本公司借</w:t>
            </w:r>
            <w:proofErr w:type="gramStart"/>
            <w:r w:rsidRPr="000E2B4D">
              <w:rPr>
                <w:rFonts w:ascii="標楷體" w:eastAsia="標楷體" w:hint="eastAsia"/>
              </w:rPr>
              <w:t>券</w:t>
            </w:r>
            <w:proofErr w:type="gramEnd"/>
            <w:r w:rsidRPr="000E2B4D">
              <w:rPr>
                <w:rFonts w:ascii="標楷體" w:eastAsia="標楷體" w:hint="eastAsia"/>
              </w:rPr>
              <w:t>系統透過證券商轉交借</w:t>
            </w:r>
            <w:proofErr w:type="gramStart"/>
            <w:r w:rsidRPr="000E2B4D">
              <w:rPr>
                <w:rFonts w:ascii="標楷體" w:eastAsia="標楷體" w:hint="eastAsia"/>
              </w:rPr>
              <w:t>券</w:t>
            </w:r>
            <w:proofErr w:type="gramEnd"/>
            <w:r w:rsidRPr="000E2B4D">
              <w:rPr>
                <w:rFonts w:ascii="標楷體" w:eastAsia="標楷體" w:hint="eastAsia"/>
              </w:rPr>
              <w:t>人代為認購或於市場補回。</w:t>
            </w:r>
          </w:p>
          <w:p w:rsidR="000E2B4D" w:rsidRPr="000E2B4D" w:rsidRDefault="000E2B4D" w:rsidP="00B64FC4">
            <w:pPr>
              <w:kinsoku w:val="0"/>
              <w:overflowPunct w:val="0"/>
              <w:spacing w:line="380" w:lineRule="exact"/>
              <w:ind w:leftChars="100" w:left="600" w:hangingChars="150" w:hanging="360"/>
              <w:jc w:val="both"/>
              <w:rPr>
                <w:rFonts w:ascii="標楷體" w:eastAsia="標楷體"/>
              </w:rPr>
            </w:pPr>
            <w:r w:rsidRPr="000E2B4D">
              <w:rPr>
                <w:rFonts w:ascii="標楷體" w:eastAsia="標楷體" w:hint="eastAsia"/>
              </w:rPr>
              <w:t>（二）本公司於新發行有價證券發放日之三個營業日前經由證券商通知借</w:t>
            </w:r>
            <w:proofErr w:type="gramStart"/>
            <w:r w:rsidRPr="000E2B4D">
              <w:rPr>
                <w:rFonts w:ascii="標楷體" w:eastAsia="標楷體" w:hint="eastAsia"/>
              </w:rPr>
              <w:t>券</w:t>
            </w:r>
            <w:proofErr w:type="gramEnd"/>
            <w:r w:rsidRPr="000E2B4D">
              <w:rPr>
                <w:rFonts w:ascii="標楷體" w:eastAsia="標楷體" w:hint="eastAsia"/>
              </w:rPr>
              <w:t>人，借</w:t>
            </w:r>
            <w:proofErr w:type="gramStart"/>
            <w:r w:rsidRPr="000E2B4D">
              <w:rPr>
                <w:rFonts w:ascii="標楷體" w:eastAsia="標楷體" w:hint="eastAsia"/>
              </w:rPr>
              <w:t>券</w:t>
            </w:r>
            <w:proofErr w:type="gramEnd"/>
            <w:r w:rsidRPr="000E2B4D">
              <w:rPr>
                <w:rFonts w:ascii="標楷體" w:eastAsia="標楷體" w:hint="eastAsia"/>
              </w:rPr>
              <w:t>人必須在發放日起三個營業日內，經由證券商透過本公司借</w:t>
            </w:r>
            <w:proofErr w:type="gramStart"/>
            <w:r w:rsidRPr="000E2B4D">
              <w:rPr>
                <w:rFonts w:ascii="標楷體" w:eastAsia="標楷體" w:hint="eastAsia"/>
              </w:rPr>
              <w:t>券</w:t>
            </w:r>
            <w:proofErr w:type="gramEnd"/>
            <w:r w:rsidRPr="000E2B4D">
              <w:rPr>
                <w:rFonts w:ascii="標楷體" w:eastAsia="標楷體" w:hint="eastAsia"/>
              </w:rPr>
              <w:t>系統轉知證券集保事業，自借</w:t>
            </w:r>
            <w:proofErr w:type="gramStart"/>
            <w:r w:rsidRPr="000E2B4D">
              <w:rPr>
                <w:rFonts w:ascii="標楷體" w:eastAsia="標楷體" w:hint="eastAsia"/>
              </w:rPr>
              <w:t>券</w:t>
            </w:r>
            <w:proofErr w:type="gramEnd"/>
            <w:r w:rsidRPr="000E2B4D">
              <w:rPr>
                <w:rFonts w:ascii="標楷體" w:eastAsia="標楷體" w:hint="eastAsia"/>
              </w:rPr>
              <w:t>人之證券集保帳戶中撥付出借人。</w:t>
            </w:r>
          </w:p>
          <w:p w:rsidR="000E2B4D" w:rsidRPr="000E2B4D" w:rsidRDefault="000E2B4D" w:rsidP="00B64FC4">
            <w:pPr>
              <w:kinsoku w:val="0"/>
              <w:overflowPunct w:val="0"/>
              <w:spacing w:line="380" w:lineRule="exact"/>
              <w:ind w:leftChars="100" w:left="600" w:hangingChars="150" w:hanging="360"/>
              <w:jc w:val="both"/>
              <w:rPr>
                <w:rFonts w:ascii="標楷體" w:eastAsia="標楷體"/>
              </w:rPr>
            </w:pPr>
            <w:r w:rsidRPr="000E2B4D">
              <w:rPr>
                <w:rFonts w:ascii="標楷體" w:eastAsia="標楷體" w:hint="eastAsia"/>
              </w:rPr>
              <w:t>（三）若出借人逾期或未表示認購意思，或表明認購意思後未於規定期限內</w:t>
            </w:r>
            <w:r w:rsidRPr="000E2B4D">
              <w:rPr>
                <w:rFonts w:ascii="標楷體" w:eastAsia="標楷體" w:hint="eastAsia"/>
              </w:rPr>
              <w:lastRenderedPageBreak/>
              <w:t>繳交認購價款，即視同放棄新股認購權利。</w:t>
            </w:r>
          </w:p>
          <w:p w:rsidR="0035018C" w:rsidRDefault="0035018C" w:rsidP="00B64FC4">
            <w:pPr>
              <w:kinsoku w:val="0"/>
              <w:overflowPunct w:val="0"/>
              <w:spacing w:line="380" w:lineRule="exact"/>
              <w:ind w:firstLineChars="200" w:firstLine="480"/>
              <w:jc w:val="both"/>
              <w:rPr>
                <w:rFonts w:ascii="標楷體" w:eastAsia="標楷體"/>
              </w:rPr>
            </w:pPr>
            <w:r w:rsidRPr="00455219">
              <w:rPr>
                <w:rFonts w:ascii="標楷體" w:eastAsia="標楷體" w:hint="eastAsia"/>
                <w:szCs w:val="24"/>
              </w:rPr>
              <w:t>(新增)</w:t>
            </w:r>
          </w:p>
          <w:p w:rsidR="0035018C" w:rsidRDefault="0035018C" w:rsidP="00B64FC4">
            <w:pPr>
              <w:kinsoku w:val="0"/>
              <w:overflowPunct w:val="0"/>
              <w:spacing w:line="380" w:lineRule="exact"/>
              <w:ind w:firstLineChars="200" w:firstLine="480"/>
              <w:jc w:val="both"/>
              <w:rPr>
                <w:rFonts w:ascii="標楷體" w:eastAsia="標楷體"/>
              </w:rPr>
            </w:pPr>
          </w:p>
          <w:p w:rsidR="0035018C" w:rsidRDefault="0035018C" w:rsidP="00B64FC4">
            <w:pPr>
              <w:kinsoku w:val="0"/>
              <w:overflowPunct w:val="0"/>
              <w:spacing w:line="380" w:lineRule="exact"/>
              <w:ind w:firstLineChars="200" w:firstLine="480"/>
              <w:jc w:val="both"/>
              <w:rPr>
                <w:rFonts w:ascii="標楷體" w:eastAsia="標楷體"/>
              </w:rPr>
            </w:pPr>
          </w:p>
          <w:p w:rsidR="0035018C" w:rsidRDefault="0035018C" w:rsidP="00B64FC4">
            <w:pPr>
              <w:kinsoku w:val="0"/>
              <w:overflowPunct w:val="0"/>
              <w:spacing w:line="380" w:lineRule="exact"/>
              <w:ind w:firstLineChars="200" w:firstLine="480"/>
              <w:jc w:val="both"/>
              <w:rPr>
                <w:rFonts w:ascii="標楷體" w:eastAsia="標楷體"/>
              </w:rPr>
            </w:pPr>
          </w:p>
          <w:p w:rsidR="0035018C" w:rsidRDefault="0035018C" w:rsidP="00B64FC4">
            <w:pPr>
              <w:kinsoku w:val="0"/>
              <w:overflowPunct w:val="0"/>
              <w:spacing w:line="380" w:lineRule="exact"/>
              <w:ind w:firstLineChars="200" w:firstLine="480"/>
              <w:jc w:val="both"/>
              <w:rPr>
                <w:rFonts w:ascii="標楷體" w:eastAsia="標楷體"/>
              </w:rPr>
            </w:pPr>
          </w:p>
          <w:p w:rsidR="0035018C" w:rsidRDefault="0035018C" w:rsidP="00B64FC4">
            <w:pPr>
              <w:kinsoku w:val="0"/>
              <w:overflowPunct w:val="0"/>
              <w:spacing w:line="380" w:lineRule="exact"/>
              <w:ind w:firstLineChars="200" w:firstLine="480"/>
              <w:jc w:val="both"/>
              <w:rPr>
                <w:rFonts w:ascii="標楷體" w:eastAsia="標楷體"/>
              </w:rPr>
            </w:pPr>
          </w:p>
          <w:p w:rsidR="0035018C" w:rsidRDefault="0035018C" w:rsidP="00B64FC4">
            <w:pPr>
              <w:kinsoku w:val="0"/>
              <w:overflowPunct w:val="0"/>
              <w:spacing w:line="380" w:lineRule="exact"/>
              <w:ind w:firstLineChars="200" w:firstLine="480"/>
              <w:jc w:val="both"/>
              <w:rPr>
                <w:rFonts w:ascii="標楷體" w:eastAsia="標楷體"/>
              </w:rPr>
            </w:pPr>
          </w:p>
          <w:p w:rsidR="0035018C" w:rsidRDefault="0035018C" w:rsidP="00B64FC4">
            <w:pPr>
              <w:kinsoku w:val="0"/>
              <w:overflowPunct w:val="0"/>
              <w:spacing w:line="380" w:lineRule="exact"/>
              <w:ind w:firstLineChars="200" w:firstLine="480"/>
              <w:jc w:val="both"/>
              <w:rPr>
                <w:rFonts w:ascii="標楷體" w:eastAsia="標楷體"/>
              </w:rPr>
            </w:pPr>
          </w:p>
          <w:p w:rsidR="00887887" w:rsidRDefault="00887887" w:rsidP="00B64FC4">
            <w:pPr>
              <w:kinsoku w:val="0"/>
              <w:overflowPunct w:val="0"/>
              <w:spacing w:line="380" w:lineRule="exact"/>
              <w:ind w:firstLineChars="200" w:firstLine="480"/>
              <w:jc w:val="both"/>
              <w:rPr>
                <w:rFonts w:ascii="標楷體" w:eastAsia="標楷體"/>
              </w:rPr>
            </w:pPr>
          </w:p>
          <w:p w:rsidR="000E2B4D" w:rsidRDefault="000E2B4D" w:rsidP="00B64FC4">
            <w:pPr>
              <w:kinsoku w:val="0"/>
              <w:overflowPunct w:val="0"/>
              <w:spacing w:line="380" w:lineRule="exact"/>
              <w:ind w:firstLineChars="200" w:firstLine="480"/>
              <w:jc w:val="both"/>
              <w:rPr>
                <w:rFonts w:ascii="標楷體" w:eastAsia="標楷體"/>
              </w:rPr>
            </w:pPr>
            <w:proofErr w:type="gramStart"/>
            <w:r w:rsidRPr="002763EB">
              <w:rPr>
                <w:rFonts w:ascii="標楷體" w:eastAsia="標楷體" w:hint="eastAsia"/>
              </w:rPr>
              <w:t>議借交易</w:t>
            </w:r>
            <w:proofErr w:type="gramEnd"/>
            <w:r w:rsidRPr="002763EB">
              <w:rPr>
                <w:rFonts w:ascii="標楷體" w:eastAsia="標楷體" w:hint="eastAsia"/>
              </w:rPr>
              <w:t>出借人因出借有價證券而未取得之現金權益、有價證券權益、</w:t>
            </w:r>
            <w:r w:rsidR="00447A67" w:rsidRPr="00447A67">
              <w:rPr>
                <w:rFonts w:ascii="標楷體" w:eastAsia="標楷體" w:hint="eastAsia"/>
              </w:rPr>
              <w:t>新發行有價證券認購權利</w:t>
            </w:r>
            <w:r w:rsidRPr="0035018C">
              <w:rPr>
                <w:rFonts w:ascii="標楷體" w:eastAsia="標楷體" w:hint="eastAsia"/>
              </w:rPr>
              <w:t>，</w:t>
            </w:r>
            <w:r w:rsidRPr="002763EB">
              <w:rPr>
                <w:rFonts w:ascii="標楷體" w:eastAsia="標楷體" w:hint="eastAsia"/>
              </w:rPr>
              <w:t>及股權之行使等，由借</w:t>
            </w:r>
            <w:proofErr w:type="gramStart"/>
            <w:r w:rsidRPr="002763EB">
              <w:rPr>
                <w:rFonts w:ascii="標楷體" w:eastAsia="標楷體" w:hint="eastAsia"/>
              </w:rPr>
              <w:t>券</w:t>
            </w:r>
            <w:proofErr w:type="gramEnd"/>
            <w:r w:rsidRPr="002763EB">
              <w:rPr>
                <w:rFonts w:ascii="標楷體" w:eastAsia="標楷體" w:hint="eastAsia"/>
              </w:rPr>
              <w:t>人與</w:t>
            </w:r>
            <w:r>
              <w:rPr>
                <w:rFonts w:ascii="標楷體" w:eastAsia="標楷體" w:hint="eastAsia"/>
              </w:rPr>
              <w:t>出借人</w:t>
            </w:r>
            <w:r w:rsidRPr="002763EB">
              <w:rPr>
                <w:rFonts w:ascii="標楷體" w:eastAsia="標楷體" w:hint="eastAsia"/>
              </w:rPr>
              <w:t>雙方自行議定處理。其權益屬有價證券者，由本公司依借</w:t>
            </w:r>
            <w:proofErr w:type="gramStart"/>
            <w:r w:rsidRPr="002763EB">
              <w:rPr>
                <w:rFonts w:ascii="標楷體" w:eastAsia="標楷體" w:hint="eastAsia"/>
              </w:rPr>
              <w:t>券</w:t>
            </w:r>
            <w:proofErr w:type="gramEnd"/>
            <w:r w:rsidRPr="002763EB">
              <w:rPr>
                <w:rFonts w:ascii="標楷體" w:eastAsia="標楷體" w:hint="eastAsia"/>
              </w:rPr>
              <w:t>人借入標的證券尚未還</w:t>
            </w:r>
            <w:proofErr w:type="gramStart"/>
            <w:r w:rsidRPr="002763EB">
              <w:rPr>
                <w:rFonts w:ascii="標楷體" w:eastAsia="標楷體" w:hint="eastAsia"/>
              </w:rPr>
              <w:t>券</w:t>
            </w:r>
            <w:proofErr w:type="gramEnd"/>
            <w:r w:rsidRPr="002763EB">
              <w:rPr>
                <w:rFonts w:ascii="標楷體" w:eastAsia="標楷體" w:hint="eastAsia"/>
              </w:rPr>
              <w:t>部分計算，但借</w:t>
            </w:r>
            <w:proofErr w:type="gramStart"/>
            <w:r w:rsidRPr="002763EB">
              <w:rPr>
                <w:rFonts w:ascii="標楷體" w:eastAsia="標楷體" w:hint="eastAsia"/>
              </w:rPr>
              <w:t>券</w:t>
            </w:r>
            <w:proofErr w:type="gramEnd"/>
            <w:r w:rsidRPr="002763EB">
              <w:rPr>
                <w:rFonts w:ascii="標楷體" w:eastAsia="標楷體" w:hint="eastAsia"/>
              </w:rPr>
              <w:t>人尚未償還之有價證券權益不納入計算。前述有價證券權益若需</w:t>
            </w:r>
            <w:proofErr w:type="gramStart"/>
            <w:r w:rsidRPr="002763EB">
              <w:rPr>
                <w:rFonts w:ascii="標楷體" w:eastAsia="標楷體" w:hint="eastAsia"/>
              </w:rPr>
              <w:t>撥轉應經由</w:t>
            </w:r>
            <w:proofErr w:type="gramEnd"/>
            <w:r w:rsidRPr="002763EB">
              <w:rPr>
                <w:rFonts w:ascii="標楷體" w:eastAsia="標楷體" w:hint="eastAsia"/>
              </w:rPr>
              <w:t>本公司借</w:t>
            </w:r>
            <w:proofErr w:type="gramStart"/>
            <w:r w:rsidRPr="002763EB">
              <w:rPr>
                <w:rFonts w:ascii="標楷體" w:eastAsia="標楷體" w:hint="eastAsia"/>
              </w:rPr>
              <w:t>券</w:t>
            </w:r>
            <w:proofErr w:type="gramEnd"/>
            <w:r w:rsidRPr="002763EB">
              <w:rPr>
                <w:rFonts w:ascii="標楷體" w:eastAsia="標楷體" w:hint="eastAsia"/>
              </w:rPr>
              <w:t>系統為之。</w:t>
            </w:r>
          </w:p>
          <w:p w:rsidR="000E2B4D" w:rsidRPr="00455219" w:rsidRDefault="000E2B4D">
            <w:pPr>
              <w:kinsoku w:val="0"/>
              <w:overflowPunct w:val="0"/>
              <w:spacing w:line="380" w:lineRule="exact"/>
              <w:ind w:leftChars="100" w:left="240" w:firstLineChars="200" w:firstLine="480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3079" w:type="dxa"/>
          </w:tcPr>
          <w:p w:rsidR="000E2B4D" w:rsidRDefault="000E2B4D" w:rsidP="00455219">
            <w:pPr>
              <w:kinsoku w:val="0"/>
              <w:overflowPunct w:val="0"/>
              <w:spacing w:line="380" w:lineRule="exact"/>
              <w:ind w:left="360" w:hangingChars="150" w:hanging="360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</w:rPr>
              <w:lastRenderedPageBreak/>
              <w:t>一、現行上市(櫃)公司股東參與新股認購態樣，</w:t>
            </w:r>
            <w:proofErr w:type="gramStart"/>
            <w:r>
              <w:rPr>
                <w:rFonts w:ascii="標楷體" w:eastAsia="標楷體" w:hint="eastAsia"/>
              </w:rPr>
              <w:t>除標的</w:t>
            </w:r>
            <w:proofErr w:type="gramEnd"/>
            <w:r w:rsidR="000039D1">
              <w:rPr>
                <w:rFonts w:ascii="標楷體" w:eastAsia="標楷體" w:hint="eastAsia"/>
              </w:rPr>
              <w:t>證券發行</w:t>
            </w:r>
            <w:r>
              <w:rPr>
                <w:rFonts w:ascii="標楷體" w:eastAsia="標楷體" w:hint="eastAsia"/>
              </w:rPr>
              <w:t>公司之現金增資普通股外，尚包括標的</w:t>
            </w:r>
            <w:r w:rsidR="000039D1">
              <w:rPr>
                <w:rFonts w:ascii="標楷體" w:eastAsia="標楷體" w:hint="eastAsia"/>
              </w:rPr>
              <w:t>證券發行</w:t>
            </w:r>
            <w:r>
              <w:rPr>
                <w:rFonts w:ascii="標楷體" w:eastAsia="標楷體" w:hint="eastAsia"/>
              </w:rPr>
              <w:t>公司之特別股，或標的</w:t>
            </w:r>
            <w:r w:rsidR="000039D1">
              <w:rPr>
                <w:rFonts w:ascii="標楷體" w:eastAsia="標楷體" w:hint="eastAsia"/>
              </w:rPr>
              <w:t>證券發行</w:t>
            </w:r>
            <w:r>
              <w:rPr>
                <w:rFonts w:ascii="標楷體" w:eastAsia="標楷體" w:hint="eastAsia"/>
              </w:rPr>
              <w:t>公司子公司所辦理之增資股認購。考量</w:t>
            </w:r>
            <w:r w:rsidRPr="0045588E">
              <w:rPr>
                <w:rFonts w:ascii="標楷體" w:eastAsia="標楷體" w:hint="eastAsia"/>
              </w:rPr>
              <w:t>標的</w:t>
            </w:r>
            <w:r w:rsidR="00314B32">
              <w:rPr>
                <w:rFonts w:ascii="標楷體" w:eastAsia="標楷體" w:hint="eastAsia"/>
              </w:rPr>
              <w:t>證券發行</w:t>
            </w:r>
            <w:r w:rsidRPr="0045588E">
              <w:rPr>
                <w:rFonts w:ascii="標楷體" w:eastAsia="標楷體" w:hint="eastAsia"/>
              </w:rPr>
              <w:t>公司</w:t>
            </w:r>
            <w:r>
              <w:rPr>
                <w:rFonts w:ascii="標楷體" w:eastAsia="標楷體" w:hint="eastAsia"/>
              </w:rPr>
              <w:t>股東所認購之股份</w:t>
            </w:r>
            <w:r w:rsidR="00314B32">
              <w:rPr>
                <w:rFonts w:ascii="標楷體" w:eastAsia="標楷體" w:hint="eastAsia"/>
              </w:rPr>
              <w:t>包含未上市(櫃)</w:t>
            </w:r>
            <w:r w:rsidR="006A0803">
              <w:rPr>
                <w:rFonts w:ascii="標楷體" w:eastAsia="標楷體" w:hint="eastAsia"/>
              </w:rPr>
              <w:t>公開發行公司</w:t>
            </w:r>
            <w:r w:rsidR="00314B32">
              <w:rPr>
                <w:rFonts w:ascii="標楷體" w:eastAsia="標楷體" w:hint="eastAsia"/>
              </w:rPr>
              <w:t>股票</w:t>
            </w:r>
            <w:r w:rsidR="00C32CE0">
              <w:rPr>
                <w:rFonts w:ascii="標楷體" w:eastAsia="標楷體" w:hint="eastAsia"/>
              </w:rPr>
              <w:t>及特別股</w:t>
            </w:r>
            <w:r w:rsidR="00314B32">
              <w:rPr>
                <w:rFonts w:ascii="標楷體" w:eastAsia="標楷體" w:hint="eastAsia"/>
              </w:rPr>
              <w:t>，</w:t>
            </w:r>
            <w:r>
              <w:rPr>
                <w:rFonts w:ascii="標楷體" w:eastAsia="標楷體" w:hint="eastAsia"/>
              </w:rPr>
              <w:t>一旦借</w:t>
            </w:r>
            <w:proofErr w:type="gramStart"/>
            <w:r>
              <w:rPr>
                <w:rFonts w:ascii="標楷體" w:eastAsia="標楷體" w:hint="eastAsia"/>
              </w:rPr>
              <w:t>券</w:t>
            </w:r>
            <w:proofErr w:type="gramEnd"/>
            <w:r>
              <w:rPr>
                <w:rFonts w:ascii="標楷體" w:eastAsia="標楷體" w:hint="eastAsia"/>
              </w:rPr>
              <w:t>人必需由市場</w:t>
            </w:r>
            <w:r w:rsidR="00075640">
              <w:rPr>
                <w:rFonts w:ascii="標楷體" w:eastAsia="標楷體" w:hint="eastAsia"/>
              </w:rPr>
              <w:t>補</w:t>
            </w:r>
            <w:r>
              <w:rPr>
                <w:rFonts w:ascii="標楷體" w:eastAsia="標楷體" w:hint="eastAsia"/>
              </w:rPr>
              <w:t>回</w:t>
            </w:r>
            <w:r w:rsidR="00686A8B">
              <w:rPr>
                <w:rFonts w:ascii="標楷體" w:eastAsia="標楷體" w:hint="eastAsia"/>
              </w:rPr>
              <w:t>認購</w:t>
            </w:r>
            <w:r w:rsidR="00A56028">
              <w:rPr>
                <w:rFonts w:ascii="標楷體" w:eastAsia="標楷體" w:hint="eastAsia"/>
              </w:rPr>
              <w:t>權益</w:t>
            </w:r>
            <w:r>
              <w:rPr>
                <w:rFonts w:ascii="標楷體" w:eastAsia="標楷體" w:hint="eastAsia"/>
              </w:rPr>
              <w:t>以償還出借人時，</w:t>
            </w:r>
            <w:r w:rsidR="006163A8">
              <w:rPr>
                <w:rFonts w:ascii="標楷體" w:eastAsia="標楷體" w:hint="eastAsia"/>
              </w:rPr>
              <w:t>在無公開市場得以買進或</w:t>
            </w:r>
            <w:r w:rsidR="009B0F08">
              <w:rPr>
                <w:rFonts w:ascii="標楷體" w:eastAsia="標楷體" w:hint="eastAsia"/>
              </w:rPr>
              <w:t>因</w:t>
            </w:r>
            <w:r w:rsidR="006163A8">
              <w:rPr>
                <w:rFonts w:ascii="標楷體" w:eastAsia="標楷體" w:hint="eastAsia"/>
              </w:rPr>
              <w:t>流動性不足之</w:t>
            </w:r>
            <w:r w:rsidR="009B0F08">
              <w:rPr>
                <w:rFonts w:ascii="標楷體" w:eastAsia="標楷體" w:hint="eastAsia"/>
              </w:rPr>
              <w:t>因素</w:t>
            </w:r>
            <w:r w:rsidR="006163A8">
              <w:rPr>
                <w:rFonts w:ascii="標楷體" w:eastAsia="標楷體" w:hint="eastAsia"/>
              </w:rPr>
              <w:t>，即</w:t>
            </w:r>
            <w:r>
              <w:rPr>
                <w:rFonts w:ascii="標楷體" w:eastAsia="標楷體" w:hint="eastAsia"/>
              </w:rPr>
              <w:t>可能發生</w:t>
            </w:r>
            <w:r w:rsidR="00A56028">
              <w:rPr>
                <w:rFonts w:ascii="標楷體" w:eastAsia="標楷體" w:hint="eastAsia"/>
              </w:rPr>
              <w:t>無法償還認購</w:t>
            </w:r>
            <w:r w:rsidR="006163A8">
              <w:rPr>
                <w:rFonts w:ascii="標楷體" w:eastAsia="標楷體" w:hint="eastAsia"/>
              </w:rPr>
              <w:t>權益之</w:t>
            </w:r>
            <w:r>
              <w:rPr>
                <w:rFonts w:ascii="標楷體" w:eastAsia="標楷體" w:hint="eastAsia"/>
              </w:rPr>
              <w:t>風險。</w:t>
            </w:r>
          </w:p>
          <w:p w:rsidR="00B9464E" w:rsidRDefault="000E2B4D" w:rsidP="00417C3C">
            <w:pPr>
              <w:kinsoku w:val="0"/>
              <w:overflowPunct w:val="0"/>
              <w:spacing w:line="380" w:lineRule="exact"/>
              <w:ind w:left="360" w:hangingChars="150" w:hanging="36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二、另依有價證券借貸辦法規定，所有涉及有價證券收付</w:t>
            </w:r>
            <w:r w:rsidR="00075640">
              <w:rPr>
                <w:rFonts w:ascii="標楷體" w:eastAsia="標楷體" w:hint="eastAsia"/>
              </w:rPr>
              <w:t>之</w:t>
            </w:r>
            <w:r>
              <w:rPr>
                <w:rFonts w:ascii="標楷體" w:eastAsia="標楷體" w:hint="eastAsia"/>
              </w:rPr>
              <w:t>作業，</w:t>
            </w:r>
            <w:proofErr w:type="gramStart"/>
            <w:r>
              <w:rPr>
                <w:rFonts w:ascii="標楷體" w:eastAsia="標楷體" w:hint="eastAsia"/>
              </w:rPr>
              <w:t>均需以</w:t>
            </w:r>
            <w:proofErr w:type="gramEnd"/>
            <w:r>
              <w:rPr>
                <w:rFonts w:ascii="標楷體" w:eastAsia="標楷體" w:hint="eastAsia"/>
              </w:rPr>
              <w:t>帳簿劃撥方式辦理。</w:t>
            </w:r>
            <w:r w:rsidR="004C6D07">
              <w:rPr>
                <w:rFonts w:ascii="標楷體" w:eastAsia="標楷體" w:hint="eastAsia"/>
              </w:rPr>
              <w:t>因現行公司法並無強制公開發行公司必須</w:t>
            </w:r>
            <w:proofErr w:type="gramStart"/>
            <w:r w:rsidR="004C6D07">
              <w:rPr>
                <w:rFonts w:ascii="標楷體" w:eastAsia="標楷體" w:hint="eastAsia"/>
              </w:rPr>
              <w:t>採</w:t>
            </w:r>
            <w:proofErr w:type="gramEnd"/>
            <w:r w:rsidR="004C6D07">
              <w:rPr>
                <w:rFonts w:ascii="標楷體" w:eastAsia="標楷體" w:hint="eastAsia"/>
              </w:rPr>
              <w:t>無實體發行，</w:t>
            </w:r>
            <w:r w:rsidR="00CD5921">
              <w:rPr>
                <w:rFonts w:ascii="標楷體" w:eastAsia="標楷體" w:hint="eastAsia"/>
              </w:rPr>
              <w:t>若</w:t>
            </w:r>
            <w:r>
              <w:rPr>
                <w:rFonts w:ascii="標楷體" w:eastAsia="標楷體" w:hint="eastAsia"/>
              </w:rPr>
              <w:t>上述認購之新股，</w:t>
            </w:r>
            <w:proofErr w:type="gramStart"/>
            <w:r>
              <w:rPr>
                <w:rFonts w:ascii="標楷體" w:eastAsia="標楷體" w:hint="eastAsia"/>
              </w:rPr>
              <w:t>採</w:t>
            </w:r>
            <w:proofErr w:type="gramEnd"/>
            <w:r>
              <w:rPr>
                <w:rFonts w:ascii="標楷體" w:eastAsia="標楷體" w:hint="eastAsia"/>
              </w:rPr>
              <w:t>實體發行者，則無法透過帳簿劃撥方式償還</w:t>
            </w:r>
            <w:r w:rsidR="00B9464E">
              <w:rPr>
                <w:rFonts w:ascii="標楷體" w:eastAsia="標楷體" w:hint="eastAsia"/>
              </w:rPr>
              <w:t>。</w:t>
            </w:r>
          </w:p>
          <w:p w:rsidR="000E2B4D" w:rsidRPr="000E2B4D" w:rsidRDefault="00B9464E" w:rsidP="005542DD">
            <w:pPr>
              <w:kinsoku w:val="0"/>
              <w:overflowPunct w:val="0"/>
              <w:spacing w:line="380" w:lineRule="exact"/>
              <w:ind w:left="360" w:hangingChars="150" w:hanging="360"/>
              <w:jc w:val="both"/>
              <w:rPr>
                <w:rFonts w:eastAsia="標楷體"/>
                <w:sz w:val="28"/>
              </w:rPr>
            </w:pPr>
            <w:r>
              <w:rPr>
                <w:rFonts w:ascii="標楷體" w:eastAsia="標楷體" w:hint="eastAsia"/>
              </w:rPr>
              <w:t>三、衡酌</w:t>
            </w:r>
            <w:r w:rsidR="00510ED2">
              <w:rPr>
                <w:rFonts w:ascii="標楷體" w:eastAsia="標楷體" w:hint="eastAsia"/>
              </w:rPr>
              <w:t>第一項第三款</w:t>
            </w:r>
            <w:r w:rsidR="006A6B35">
              <w:rPr>
                <w:rFonts w:ascii="標楷體" w:eastAsia="標楷體" w:hint="eastAsia"/>
              </w:rPr>
              <w:t>有關</w:t>
            </w:r>
            <w:r>
              <w:rPr>
                <w:rFonts w:ascii="標楷體" w:eastAsia="標楷體" w:hint="eastAsia"/>
              </w:rPr>
              <w:t>定價、競價交易之</w:t>
            </w:r>
            <w:r w:rsidR="006A6B35" w:rsidRPr="000E2B4D">
              <w:rPr>
                <w:rFonts w:ascii="標楷體" w:eastAsia="標楷體" w:hint="eastAsia"/>
              </w:rPr>
              <w:t>新</w:t>
            </w:r>
            <w:r w:rsidR="00AA76C4">
              <w:rPr>
                <w:rFonts w:ascii="標楷體" w:eastAsia="標楷體" w:hint="eastAsia"/>
              </w:rPr>
              <w:t>股</w:t>
            </w:r>
            <w:r w:rsidR="006A6B35" w:rsidRPr="000E2B4D">
              <w:rPr>
                <w:rFonts w:ascii="標楷體" w:eastAsia="標楷體" w:hint="eastAsia"/>
              </w:rPr>
              <w:t>認購</w:t>
            </w:r>
            <w:r>
              <w:rPr>
                <w:rFonts w:ascii="標楷體" w:eastAsia="標楷體" w:hint="eastAsia"/>
              </w:rPr>
              <w:t>權益補償係屬強制性規範</w:t>
            </w:r>
            <w:r w:rsidR="007D3C54">
              <w:rPr>
                <w:rFonts w:ascii="標楷體" w:eastAsia="標楷體" w:hint="eastAsia"/>
              </w:rPr>
              <w:t>，</w:t>
            </w:r>
            <w:r w:rsidR="006A6B35">
              <w:rPr>
                <w:rFonts w:ascii="標楷體" w:eastAsia="標楷體" w:hint="eastAsia"/>
              </w:rPr>
              <w:t>如出借人</w:t>
            </w:r>
            <w:r w:rsidR="006A6B35" w:rsidRPr="000E2B4D">
              <w:rPr>
                <w:rFonts w:ascii="標楷體" w:eastAsia="標楷體" w:hint="eastAsia"/>
              </w:rPr>
              <w:t>表示認購意思</w:t>
            </w:r>
            <w:r w:rsidR="006A6B35">
              <w:rPr>
                <w:rFonts w:ascii="標楷體" w:eastAsia="標楷體" w:hint="eastAsia"/>
              </w:rPr>
              <w:t>時，借</w:t>
            </w:r>
            <w:proofErr w:type="gramStart"/>
            <w:r w:rsidR="006A6B35">
              <w:rPr>
                <w:rFonts w:ascii="標楷體" w:eastAsia="標楷體" w:hint="eastAsia"/>
              </w:rPr>
              <w:t>券</w:t>
            </w:r>
            <w:proofErr w:type="gramEnd"/>
            <w:r w:rsidR="006A6B35">
              <w:rPr>
                <w:rFonts w:ascii="標楷體" w:eastAsia="標楷體" w:hint="eastAsia"/>
              </w:rPr>
              <w:t>人即有</w:t>
            </w:r>
            <w:r w:rsidR="006A6B35" w:rsidRPr="000E2B4D">
              <w:rPr>
                <w:rFonts w:ascii="標楷體" w:eastAsia="標楷體" w:hint="eastAsia"/>
              </w:rPr>
              <w:t>代為認購或於市場補回</w:t>
            </w:r>
            <w:r w:rsidR="006A6B35">
              <w:rPr>
                <w:rFonts w:ascii="標楷體" w:eastAsia="標楷體" w:hint="eastAsia"/>
              </w:rPr>
              <w:t>之義務。</w:t>
            </w:r>
            <w:r w:rsidR="00AC50F7">
              <w:rPr>
                <w:rFonts w:ascii="標楷體" w:eastAsia="標楷體" w:hint="eastAsia"/>
              </w:rPr>
              <w:t>考量前述</w:t>
            </w:r>
            <w:r w:rsidR="0035439C">
              <w:rPr>
                <w:rFonts w:ascii="標楷體" w:eastAsia="標楷體" w:hint="eastAsia"/>
              </w:rPr>
              <w:t>可能發生無法償還認購權益之</w:t>
            </w:r>
            <w:r w:rsidR="00AC50F7">
              <w:rPr>
                <w:rFonts w:ascii="標楷體" w:eastAsia="標楷體" w:hint="eastAsia"/>
              </w:rPr>
              <w:t>風險</w:t>
            </w:r>
            <w:r w:rsidR="00A42962">
              <w:rPr>
                <w:rFonts w:ascii="標楷體" w:eastAsia="標楷體" w:hint="eastAsia"/>
              </w:rPr>
              <w:t>，</w:t>
            </w:r>
            <w:r w:rsidR="00CD3ECD">
              <w:rPr>
                <w:rFonts w:ascii="標楷體" w:eastAsia="標楷體" w:hint="eastAsia"/>
              </w:rPr>
              <w:t>以</w:t>
            </w:r>
            <w:r w:rsidR="0035018C">
              <w:rPr>
                <w:rFonts w:ascii="標楷體" w:eastAsia="標楷體" w:hint="eastAsia"/>
              </w:rPr>
              <w:t>及</w:t>
            </w:r>
            <w:r w:rsidR="00B937F7">
              <w:rPr>
                <w:rFonts w:ascii="標楷體" w:eastAsia="標楷體" w:hint="eastAsia"/>
              </w:rPr>
              <w:t>所</w:t>
            </w:r>
            <w:r w:rsidR="00A42962">
              <w:rPr>
                <w:rFonts w:ascii="標楷體" w:eastAsia="標楷體" w:hint="eastAsia"/>
              </w:rPr>
              <w:lastRenderedPageBreak/>
              <w:t>認購之未上市(櫃)</w:t>
            </w:r>
            <w:r w:rsidR="004C6D07">
              <w:rPr>
                <w:rFonts w:ascii="標楷體" w:eastAsia="標楷體" w:hint="eastAsia"/>
              </w:rPr>
              <w:t>公開發行公司新股仍有</w:t>
            </w:r>
            <w:proofErr w:type="gramStart"/>
            <w:r w:rsidR="004C6D07">
              <w:rPr>
                <w:rFonts w:ascii="標楷體" w:eastAsia="標楷體" w:hint="eastAsia"/>
              </w:rPr>
              <w:t>採</w:t>
            </w:r>
            <w:proofErr w:type="gramEnd"/>
            <w:r w:rsidR="004C6D07">
              <w:rPr>
                <w:rFonts w:ascii="標楷體" w:eastAsia="標楷體" w:hint="eastAsia"/>
              </w:rPr>
              <w:t>行實體發行之可能性</w:t>
            </w:r>
            <w:r w:rsidR="00CD5921">
              <w:rPr>
                <w:rFonts w:ascii="標楷體" w:eastAsia="標楷體" w:hint="eastAsia"/>
              </w:rPr>
              <w:t>，</w:t>
            </w:r>
            <w:r w:rsidR="00CD3ECD">
              <w:rPr>
                <w:rFonts w:ascii="標楷體" w:eastAsia="標楷體" w:hint="eastAsia"/>
              </w:rPr>
              <w:t>以致無法</w:t>
            </w:r>
            <w:r w:rsidR="005542DD">
              <w:rPr>
                <w:rFonts w:ascii="標楷體" w:eastAsia="標楷體" w:hint="eastAsia"/>
              </w:rPr>
              <w:t>以</w:t>
            </w:r>
            <w:r w:rsidR="00CD3ECD">
              <w:rPr>
                <w:rFonts w:ascii="標楷體" w:eastAsia="標楷體" w:hint="eastAsia"/>
              </w:rPr>
              <w:t>帳簿劃撥方式償還之實務作業困難，</w:t>
            </w:r>
            <w:proofErr w:type="gramStart"/>
            <w:r w:rsidR="000E2B4D">
              <w:rPr>
                <w:rFonts w:ascii="標楷體" w:eastAsia="標楷體" w:hint="eastAsia"/>
              </w:rPr>
              <w:t>爰</w:t>
            </w:r>
            <w:proofErr w:type="gramEnd"/>
            <w:r w:rsidR="000E2B4D">
              <w:rPr>
                <w:rFonts w:ascii="標楷體" w:eastAsia="標楷體" w:hint="eastAsia"/>
              </w:rPr>
              <w:t>增</w:t>
            </w:r>
            <w:r w:rsidR="0035439C">
              <w:rPr>
                <w:rFonts w:ascii="標楷體" w:eastAsia="標楷體" w:hint="eastAsia"/>
              </w:rPr>
              <w:t>訂</w:t>
            </w:r>
            <w:r w:rsidR="000E2B4D">
              <w:rPr>
                <w:rFonts w:ascii="標楷體" w:eastAsia="標楷體" w:hint="eastAsia"/>
              </w:rPr>
              <w:t>本條第</w:t>
            </w:r>
            <w:r w:rsidR="0035018C">
              <w:rPr>
                <w:rFonts w:ascii="標楷體" w:eastAsia="標楷體" w:hint="eastAsia"/>
              </w:rPr>
              <w:t>二</w:t>
            </w:r>
            <w:r w:rsidR="000E2B4D">
              <w:rPr>
                <w:rFonts w:ascii="標楷體" w:eastAsia="標楷體" w:hint="eastAsia"/>
              </w:rPr>
              <w:t>項規定</w:t>
            </w:r>
            <w:r w:rsidR="00893AB6">
              <w:rPr>
                <w:rFonts w:ascii="標楷體" w:eastAsia="標楷體" w:hint="eastAsia"/>
              </w:rPr>
              <w:t>，</w:t>
            </w:r>
            <w:r w:rsidR="00832782">
              <w:rPr>
                <w:rFonts w:ascii="標楷體" w:eastAsia="標楷體" w:hint="eastAsia"/>
              </w:rPr>
              <w:t>以因應實務需要</w:t>
            </w:r>
            <w:r w:rsidR="000E2B4D">
              <w:rPr>
                <w:rFonts w:ascii="標楷體" w:eastAsia="標楷體" w:hint="eastAsia"/>
              </w:rPr>
              <w:t>。</w:t>
            </w:r>
            <w:r w:rsidR="005542DD">
              <w:rPr>
                <w:rFonts w:ascii="標楷體" w:eastAsia="標楷體" w:hint="eastAsia"/>
              </w:rPr>
              <w:t>另配合調整項次。</w:t>
            </w:r>
          </w:p>
        </w:tc>
      </w:tr>
    </w:tbl>
    <w:p w:rsidR="00C46AE2" w:rsidRPr="00C46AE2" w:rsidRDefault="00C46AE2" w:rsidP="00C8711E">
      <w:pPr>
        <w:pStyle w:val="Web"/>
        <w:widowControl w:val="0"/>
        <w:spacing w:before="0" w:beforeAutospacing="0" w:after="0" w:afterAutospacing="0" w:line="380" w:lineRule="exact"/>
        <w:jc w:val="center"/>
        <w:rPr>
          <w:rFonts w:ascii="標楷體" w:eastAsia="標楷體"/>
          <w:sz w:val="28"/>
        </w:rPr>
      </w:pPr>
    </w:p>
    <w:sectPr w:rsidR="00C46AE2" w:rsidRPr="00C46AE2" w:rsidSect="00196924">
      <w:footerReference w:type="even" r:id="rId8"/>
      <w:footerReference w:type="default" r:id="rId9"/>
      <w:pgSz w:w="11906" w:h="16838" w:code="9"/>
      <w:pgMar w:top="1191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E08" w:rsidRDefault="008B5E08">
      <w:r>
        <w:separator/>
      </w:r>
    </w:p>
  </w:endnote>
  <w:endnote w:type="continuationSeparator" w:id="0">
    <w:p w:rsidR="008B5E08" w:rsidRDefault="008B5E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86D" w:rsidRDefault="00FD020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A586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A586D">
      <w:rPr>
        <w:rStyle w:val="a6"/>
        <w:noProof/>
      </w:rPr>
      <w:t>1</w:t>
    </w:r>
    <w:r>
      <w:rPr>
        <w:rStyle w:val="a6"/>
      </w:rPr>
      <w:fldChar w:fldCharType="end"/>
    </w:r>
  </w:p>
  <w:p w:rsidR="007A586D" w:rsidRDefault="007A586D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86D" w:rsidRDefault="007A586D">
    <w:pPr>
      <w:pStyle w:val="a5"/>
      <w:framePr w:wrap="around" w:vAnchor="text" w:hAnchor="margin" w:xAlign="right" w:y="1"/>
      <w:rPr>
        <w:rStyle w:val="a6"/>
      </w:rPr>
    </w:pPr>
  </w:p>
  <w:p w:rsidR="007A586D" w:rsidRDefault="00FD020B">
    <w:pPr>
      <w:pStyle w:val="a5"/>
      <w:ind w:right="360"/>
      <w:jc w:val="center"/>
    </w:pPr>
    <w:r>
      <w:rPr>
        <w:rStyle w:val="a6"/>
      </w:rPr>
      <w:fldChar w:fldCharType="begin"/>
    </w:r>
    <w:r w:rsidR="007A586D">
      <w:rPr>
        <w:rStyle w:val="a6"/>
      </w:rPr>
      <w:instrText xml:space="preserve"> PAGE </w:instrText>
    </w:r>
    <w:r>
      <w:rPr>
        <w:rStyle w:val="a6"/>
      </w:rPr>
      <w:fldChar w:fldCharType="separate"/>
    </w:r>
    <w:r w:rsidR="00D654F8">
      <w:rPr>
        <w:rStyle w:val="a6"/>
        <w:noProof/>
      </w:rPr>
      <w:t>1</w:t>
    </w:r>
    <w:r>
      <w:rPr>
        <w:rStyle w:val="a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E08" w:rsidRDefault="008B5E08">
      <w:r>
        <w:separator/>
      </w:r>
    </w:p>
  </w:footnote>
  <w:footnote w:type="continuationSeparator" w:id="0">
    <w:p w:rsidR="008B5E08" w:rsidRDefault="008B5E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4C0B"/>
    <w:multiLevelType w:val="hybridMultilevel"/>
    <w:tmpl w:val="5948B19A"/>
    <w:lvl w:ilvl="0" w:tplc="85C2D1AC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94F5208"/>
    <w:multiLevelType w:val="hybridMultilevel"/>
    <w:tmpl w:val="FA0A042C"/>
    <w:lvl w:ilvl="0" w:tplc="D85006AA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D02457A"/>
    <w:multiLevelType w:val="hybridMultilevel"/>
    <w:tmpl w:val="4EA20A2C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">
    <w:nsid w:val="104C5EBE"/>
    <w:multiLevelType w:val="hybridMultilevel"/>
    <w:tmpl w:val="F8742A20"/>
    <w:lvl w:ilvl="0" w:tplc="36769FE8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335042D"/>
    <w:multiLevelType w:val="hybridMultilevel"/>
    <w:tmpl w:val="D80A71BA"/>
    <w:lvl w:ilvl="0" w:tplc="389E98EA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5">
    <w:nsid w:val="199174A0"/>
    <w:multiLevelType w:val="hybridMultilevel"/>
    <w:tmpl w:val="AF2E0F10"/>
    <w:lvl w:ilvl="0" w:tplc="FFFFFFFF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CCB444C"/>
    <w:multiLevelType w:val="hybridMultilevel"/>
    <w:tmpl w:val="024686BC"/>
    <w:lvl w:ilvl="0" w:tplc="46385292">
      <w:start w:val="1"/>
      <w:numFmt w:val="taiwaneseCountingThousand"/>
      <w:lvlText w:val="%1、"/>
      <w:lvlJc w:val="left"/>
      <w:pPr>
        <w:ind w:left="764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7">
    <w:nsid w:val="1D0F122F"/>
    <w:multiLevelType w:val="hybridMultilevel"/>
    <w:tmpl w:val="7B20E7F4"/>
    <w:lvl w:ilvl="0" w:tplc="9014E33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F216CD0"/>
    <w:multiLevelType w:val="hybridMultilevel"/>
    <w:tmpl w:val="A960422C"/>
    <w:lvl w:ilvl="0" w:tplc="AAAAD1D6">
      <w:start w:val="1"/>
      <w:numFmt w:val="taiwaneseCountingThousand"/>
      <w:lvlText w:val="%1、"/>
      <w:lvlJc w:val="left"/>
      <w:pPr>
        <w:ind w:left="60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9">
    <w:nsid w:val="1FD7209F"/>
    <w:multiLevelType w:val="singleLevel"/>
    <w:tmpl w:val="707E05CE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0">
    <w:nsid w:val="22ED04A6"/>
    <w:multiLevelType w:val="hybridMultilevel"/>
    <w:tmpl w:val="E1DAF1AC"/>
    <w:lvl w:ilvl="0" w:tplc="77C8AEAA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4B43944"/>
    <w:multiLevelType w:val="hybridMultilevel"/>
    <w:tmpl w:val="313C265A"/>
    <w:lvl w:ilvl="0" w:tplc="B5925938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68F64E9"/>
    <w:multiLevelType w:val="hybridMultilevel"/>
    <w:tmpl w:val="FE047E1C"/>
    <w:lvl w:ilvl="0" w:tplc="4A2E1ECC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3">
    <w:nsid w:val="28D111D5"/>
    <w:multiLevelType w:val="hybridMultilevel"/>
    <w:tmpl w:val="65247F4A"/>
    <w:lvl w:ilvl="0" w:tplc="3EA0D08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9707AB7"/>
    <w:multiLevelType w:val="hybridMultilevel"/>
    <w:tmpl w:val="329CEF86"/>
    <w:lvl w:ilvl="0" w:tplc="56A6B42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"/>
        </w:tabs>
        <w:ind w:left="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00"/>
        </w:tabs>
        <w:ind w:left="1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680"/>
        </w:tabs>
        <w:ind w:left="1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40"/>
        </w:tabs>
        <w:ind w:left="2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120"/>
        </w:tabs>
        <w:ind w:left="3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80"/>
      </w:pPr>
    </w:lvl>
  </w:abstractNum>
  <w:abstractNum w:abstractNumId="15">
    <w:nsid w:val="300E551D"/>
    <w:multiLevelType w:val="hybridMultilevel"/>
    <w:tmpl w:val="1B9819C4"/>
    <w:lvl w:ilvl="0" w:tplc="6E22B0AC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0475365"/>
    <w:multiLevelType w:val="hybridMultilevel"/>
    <w:tmpl w:val="436C113A"/>
    <w:lvl w:ilvl="0" w:tplc="33A6CE92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1D31C36"/>
    <w:multiLevelType w:val="hybridMultilevel"/>
    <w:tmpl w:val="F162E4C2"/>
    <w:lvl w:ilvl="0" w:tplc="81981240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2A81D33"/>
    <w:multiLevelType w:val="hybridMultilevel"/>
    <w:tmpl w:val="6FE4F776"/>
    <w:lvl w:ilvl="0" w:tplc="3FCE189C">
      <w:start w:val="1"/>
      <w:numFmt w:val="taiwaneseCountingThousand"/>
      <w:lvlText w:val="%1、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9">
    <w:nsid w:val="374C1E89"/>
    <w:multiLevelType w:val="singleLevel"/>
    <w:tmpl w:val="7046C09A"/>
    <w:lvl w:ilvl="0">
      <w:start w:val="1"/>
      <w:numFmt w:val="decimal"/>
      <w:lvlText w:val="%1."/>
      <w:lvlJc w:val="left"/>
      <w:pPr>
        <w:tabs>
          <w:tab w:val="num" w:pos="970"/>
        </w:tabs>
        <w:ind w:left="970" w:hanging="210"/>
      </w:pPr>
      <w:rPr>
        <w:rFonts w:hint="eastAsia"/>
      </w:rPr>
    </w:lvl>
  </w:abstractNum>
  <w:abstractNum w:abstractNumId="20">
    <w:nsid w:val="39593AD5"/>
    <w:multiLevelType w:val="hybridMultilevel"/>
    <w:tmpl w:val="1A045E4A"/>
    <w:lvl w:ilvl="0" w:tplc="E3EC9B4C">
      <w:start w:val="1"/>
      <w:numFmt w:val="taiwaneseCountingThousand"/>
      <w:lvlText w:val="%1、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1">
    <w:nsid w:val="396F10B3"/>
    <w:multiLevelType w:val="hybridMultilevel"/>
    <w:tmpl w:val="D68C326E"/>
    <w:lvl w:ilvl="0" w:tplc="6F78AFDA">
      <w:start w:val="1"/>
      <w:numFmt w:val="taiwaneseCountingThousand"/>
      <w:lvlText w:val="%1、"/>
      <w:lvlJc w:val="left"/>
      <w:pPr>
        <w:tabs>
          <w:tab w:val="num" w:pos="593"/>
        </w:tabs>
        <w:ind w:left="59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</w:lvl>
  </w:abstractNum>
  <w:abstractNum w:abstractNumId="22">
    <w:nsid w:val="422A02DF"/>
    <w:multiLevelType w:val="hybridMultilevel"/>
    <w:tmpl w:val="B6427492"/>
    <w:lvl w:ilvl="0" w:tplc="1E1A3BAC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28A6988"/>
    <w:multiLevelType w:val="hybridMultilevel"/>
    <w:tmpl w:val="5AD638DA"/>
    <w:lvl w:ilvl="0" w:tplc="59103AE8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4">
    <w:nsid w:val="43282236"/>
    <w:multiLevelType w:val="hybridMultilevel"/>
    <w:tmpl w:val="A60830F0"/>
    <w:lvl w:ilvl="0" w:tplc="305205EC">
      <w:start w:val="1"/>
      <w:numFmt w:val="taiwaneseCountingThousand"/>
      <w:lvlText w:val="%1、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5">
    <w:nsid w:val="44A36900"/>
    <w:multiLevelType w:val="hybridMultilevel"/>
    <w:tmpl w:val="1A942316"/>
    <w:lvl w:ilvl="0" w:tplc="B502BF14">
      <w:start w:val="1"/>
      <w:numFmt w:val="taiwaneseCountingThousand"/>
      <w:lvlText w:val="%1、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6">
    <w:nsid w:val="455B012C"/>
    <w:multiLevelType w:val="hybridMultilevel"/>
    <w:tmpl w:val="8E20F594"/>
    <w:lvl w:ilvl="0" w:tplc="F0FEF2C8">
      <w:start w:val="1"/>
      <w:numFmt w:val="taiwaneseCountingThousand"/>
      <w:lvlText w:val="%1、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7">
    <w:nsid w:val="4DEA5BEA"/>
    <w:multiLevelType w:val="hybridMultilevel"/>
    <w:tmpl w:val="E542BF5E"/>
    <w:lvl w:ilvl="0" w:tplc="6F6AAEB4">
      <w:start w:val="1"/>
      <w:numFmt w:val="taiwaneseCountingThousand"/>
      <w:lvlText w:val="%1、"/>
      <w:lvlJc w:val="left"/>
      <w:pPr>
        <w:tabs>
          <w:tab w:val="num" w:pos="1400"/>
        </w:tabs>
        <w:ind w:left="14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40"/>
        </w:tabs>
        <w:ind w:left="16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0"/>
        </w:tabs>
        <w:ind w:left="26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80"/>
        </w:tabs>
        <w:ind w:left="30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60"/>
        </w:tabs>
        <w:ind w:left="35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40"/>
        </w:tabs>
        <w:ind w:left="40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20"/>
        </w:tabs>
        <w:ind w:left="45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00"/>
        </w:tabs>
        <w:ind w:left="5000" w:hanging="480"/>
      </w:pPr>
    </w:lvl>
  </w:abstractNum>
  <w:abstractNum w:abstractNumId="28">
    <w:nsid w:val="50BE47A3"/>
    <w:multiLevelType w:val="hybridMultilevel"/>
    <w:tmpl w:val="1FFEDE4C"/>
    <w:lvl w:ilvl="0" w:tplc="51E0635C">
      <w:start w:val="1"/>
      <w:numFmt w:val="taiwaneseCountingThousand"/>
      <w:lvlText w:val="%1、"/>
      <w:lvlJc w:val="left"/>
      <w:pPr>
        <w:ind w:left="74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9">
    <w:nsid w:val="546D1364"/>
    <w:multiLevelType w:val="multilevel"/>
    <w:tmpl w:val="A60830F0"/>
    <w:lvl w:ilvl="0">
      <w:start w:val="1"/>
      <w:numFmt w:val="taiwaneseCountingThousand"/>
      <w:lvlText w:val="%1、"/>
      <w:lvlJc w:val="left"/>
      <w:pPr>
        <w:ind w:left="60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30">
    <w:nsid w:val="55776F1E"/>
    <w:multiLevelType w:val="singleLevel"/>
    <w:tmpl w:val="47D8B4E6"/>
    <w:lvl w:ilvl="0">
      <w:start w:val="1"/>
      <w:numFmt w:val="taiwaneseCountingThousand"/>
      <w:lvlText w:val="%1、"/>
      <w:lvlJc w:val="left"/>
      <w:pPr>
        <w:tabs>
          <w:tab w:val="num" w:pos="1050"/>
        </w:tabs>
        <w:ind w:left="1050" w:hanging="570"/>
      </w:pPr>
      <w:rPr>
        <w:rFonts w:hint="eastAsia"/>
      </w:rPr>
    </w:lvl>
  </w:abstractNum>
  <w:abstractNum w:abstractNumId="31">
    <w:nsid w:val="61A5505F"/>
    <w:multiLevelType w:val="hybridMultilevel"/>
    <w:tmpl w:val="3F1C6240"/>
    <w:lvl w:ilvl="0" w:tplc="56A6B42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69A0722F"/>
    <w:multiLevelType w:val="singleLevel"/>
    <w:tmpl w:val="76E2161E"/>
    <w:lvl w:ilvl="0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ascii="新細明體" w:hint="eastAsia"/>
      </w:rPr>
    </w:lvl>
  </w:abstractNum>
  <w:abstractNum w:abstractNumId="33">
    <w:nsid w:val="6C6A6430"/>
    <w:multiLevelType w:val="singleLevel"/>
    <w:tmpl w:val="7E6440E6"/>
    <w:lvl w:ilvl="0">
      <w:start w:val="1"/>
      <w:numFmt w:val="taiwaneseCountingThousand"/>
      <w:lvlText w:val="(%1)"/>
      <w:lvlJc w:val="left"/>
      <w:pPr>
        <w:tabs>
          <w:tab w:val="num" w:pos="990"/>
        </w:tabs>
        <w:ind w:left="990" w:hanging="390"/>
      </w:pPr>
      <w:rPr>
        <w:rFonts w:hint="eastAsia"/>
      </w:rPr>
    </w:lvl>
  </w:abstractNum>
  <w:abstractNum w:abstractNumId="34">
    <w:nsid w:val="6D0B0FAB"/>
    <w:multiLevelType w:val="hybridMultilevel"/>
    <w:tmpl w:val="D2C6708E"/>
    <w:lvl w:ilvl="0" w:tplc="1B96C074">
      <w:start w:val="1"/>
      <w:numFmt w:val="taiwaneseCountingThousand"/>
      <w:lvlText w:val="%1、"/>
      <w:lvlJc w:val="left"/>
      <w:pPr>
        <w:tabs>
          <w:tab w:val="num" w:pos="1100"/>
        </w:tabs>
        <w:ind w:left="1100" w:hanging="420"/>
      </w:pPr>
      <w:rPr>
        <w:rFonts w:ascii="標楷體"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40"/>
        </w:tabs>
        <w:ind w:left="16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0"/>
        </w:tabs>
        <w:ind w:left="26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80"/>
        </w:tabs>
        <w:ind w:left="30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60"/>
        </w:tabs>
        <w:ind w:left="35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40"/>
        </w:tabs>
        <w:ind w:left="40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20"/>
        </w:tabs>
        <w:ind w:left="45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00"/>
        </w:tabs>
        <w:ind w:left="5000" w:hanging="480"/>
      </w:pPr>
    </w:lvl>
  </w:abstractNum>
  <w:abstractNum w:abstractNumId="35">
    <w:nsid w:val="6F252A5C"/>
    <w:multiLevelType w:val="singleLevel"/>
    <w:tmpl w:val="9D24DC68"/>
    <w:lvl w:ilvl="0">
      <w:start w:val="3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eastAsia"/>
      </w:rPr>
    </w:lvl>
  </w:abstractNum>
  <w:abstractNum w:abstractNumId="36">
    <w:nsid w:val="7B1D4A26"/>
    <w:multiLevelType w:val="singleLevel"/>
    <w:tmpl w:val="D15C708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新細明體" w:hint="eastAsia"/>
      </w:rPr>
    </w:lvl>
  </w:abstractNum>
  <w:abstractNum w:abstractNumId="37">
    <w:nsid w:val="7DFF7F96"/>
    <w:multiLevelType w:val="hybridMultilevel"/>
    <w:tmpl w:val="0404497A"/>
    <w:lvl w:ilvl="0" w:tplc="37EE1196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FA775F6"/>
    <w:multiLevelType w:val="hybridMultilevel"/>
    <w:tmpl w:val="833E61D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36"/>
  </w:num>
  <w:num w:numId="3">
    <w:abstractNumId w:val="32"/>
  </w:num>
  <w:num w:numId="4">
    <w:abstractNumId w:val="33"/>
  </w:num>
  <w:num w:numId="5">
    <w:abstractNumId w:val="19"/>
  </w:num>
  <w:num w:numId="6">
    <w:abstractNumId w:val="30"/>
  </w:num>
  <w:num w:numId="7">
    <w:abstractNumId w:val="35"/>
  </w:num>
  <w:num w:numId="8">
    <w:abstractNumId w:val="34"/>
  </w:num>
  <w:num w:numId="9">
    <w:abstractNumId w:val="27"/>
  </w:num>
  <w:num w:numId="10">
    <w:abstractNumId w:val="1"/>
  </w:num>
  <w:num w:numId="11">
    <w:abstractNumId w:val="5"/>
  </w:num>
  <w:num w:numId="12">
    <w:abstractNumId w:val="31"/>
  </w:num>
  <w:num w:numId="13">
    <w:abstractNumId w:val="14"/>
  </w:num>
  <w:num w:numId="14">
    <w:abstractNumId w:val="11"/>
  </w:num>
  <w:num w:numId="15">
    <w:abstractNumId w:val="13"/>
  </w:num>
  <w:num w:numId="16">
    <w:abstractNumId w:val="7"/>
  </w:num>
  <w:num w:numId="17">
    <w:abstractNumId w:val="2"/>
  </w:num>
  <w:num w:numId="18">
    <w:abstractNumId w:val="23"/>
  </w:num>
  <w:num w:numId="19">
    <w:abstractNumId w:val="21"/>
  </w:num>
  <w:num w:numId="20">
    <w:abstractNumId w:val="4"/>
  </w:num>
  <w:num w:numId="21">
    <w:abstractNumId w:val="8"/>
  </w:num>
  <w:num w:numId="22">
    <w:abstractNumId w:val="12"/>
  </w:num>
  <w:num w:numId="23">
    <w:abstractNumId w:val="37"/>
  </w:num>
  <w:num w:numId="24">
    <w:abstractNumId w:val="16"/>
  </w:num>
  <w:num w:numId="25">
    <w:abstractNumId w:val="10"/>
  </w:num>
  <w:num w:numId="26">
    <w:abstractNumId w:val="17"/>
  </w:num>
  <w:num w:numId="27">
    <w:abstractNumId w:val="38"/>
  </w:num>
  <w:num w:numId="28">
    <w:abstractNumId w:val="6"/>
  </w:num>
  <w:num w:numId="29">
    <w:abstractNumId w:val="3"/>
  </w:num>
  <w:num w:numId="30">
    <w:abstractNumId w:val="22"/>
  </w:num>
  <w:num w:numId="31">
    <w:abstractNumId w:val="15"/>
  </w:num>
  <w:num w:numId="32">
    <w:abstractNumId w:val="28"/>
  </w:num>
  <w:num w:numId="33">
    <w:abstractNumId w:val="25"/>
  </w:num>
  <w:num w:numId="34">
    <w:abstractNumId w:val="24"/>
  </w:num>
  <w:num w:numId="35">
    <w:abstractNumId w:val="18"/>
  </w:num>
  <w:num w:numId="36">
    <w:abstractNumId w:val="20"/>
  </w:num>
  <w:num w:numId="37">
    <w:abstractNumId w:val="26"/>
  </w:num>
  <w:num w:numId="38">
    <w:abstractNumId w:val="29"/>
  </w:num>
  <w:num w:numId="3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trackRevisions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AF1EAA"/>
    <w:rsid w:val="000014A8"/>
    <w:rsid w:val="00003718"/>
    <w:rsid w:val="000039D1"/>
    <w:rsid w:val="00006951"/>
    <w:rsid w:val="0000754B"/>
    <w:rsid w:val="00017ADB"/>
    <w:rsid w:val="00017BFB"/>
    <w:rsid w:val="00021FAE"/>
    <w:rsid w:val="0002354B"/>
    <w:rsid w:val="00024FD4"/>
    <w:rsid w:val="0002648B"/>
    <w:rsid w:val="00031FF2"/>
    <w:rsid w:val="00032E7C"/>
    <w:rsid w:val="000337F1"/>
    <w:rsid w:val="00036D5F"/>
    <w:rsid w:val="00041B9E"/>
    <w:rsid w:val="00043197"/>
    <w:rsid w:val="000445C1"/>
    <w:rsid w:val="0004731C"/>
    <w:rsid w:val="0005031D"/>
    <w:rsid w:val="00053070"/>
    <w:rsid w:val="00056239"/>
    <w:rsid w:val="0005788C"/>
    <w:rsid w:val="0006185D"/>
    <w:rsid w:val="000622F0"/>
    <w:rsid w:val="00063227"/>
    <w:rsid w:val="00065110"/>
    <w:rsid w:val="00073B21"/>
    <w:rsid w:val="00073FFC"/>
    <w:rsid w:val="0007427B"/>
    <w:rsid w:val="00074BAA"/>
    <w:rsid w:val="00075640"/>
    <w:rsid w:val="000768DD"/>
    <w:rsid w:val="000804B3"/>
    <w:rsid w:val="000876EB"/>
    <w:rsid w:val="000878BD"/>
    <w:rsid w:val="00096358"/>
    <w:rsid w:val="000A0747"/>
    <w:rsid w:val="000A2A17"/>
    <w:rsid w:val="000A6034"/>
    <w:rsid w:val="000A7FF6"/>
    <w:rsid w:val="000B0D08"/>
    <w:rsid w:val="000B41AA"/>
    <w:rsid w:val="000B61EE"/>
    <w:rsid w:val="000B6502"/>
    <w:rsid w:val="000C261B"/>
    <w:rsid w:val="000C4438"/>
    <w:rsid w:val="000C47F1"/>
    <w:rsid w:val="000C7145"/>
    <w:rsid w:val="000D2044"/>
    <w:rsid w:val="000D4E4C"/>
    <w:rsid w:val="000E01C2"/>
    <w:rsid w:val="000E2B4D"/>
    <w:rsid w:val="000E3E2D"/>
    <w:rsid w:val="000E635A"/>
    <w:rsid w:val="000F4769"/>
    <w:rsid w:val="000F52C3"/>
    <w:rsid w:val="00100691"/>
    <w:rsid w:val="00100F2E"/>
    <w:rsid w:val="0010263A"/>
    <w:rsid w:val="00102A7B"/>
    <w:rsid w:val="001032E8"/>
    <w:rsid w:val="0011364B"/>
    <w:rsid w:val="00122986"/>
    <w:rsid w:val="00122E82"/>
    <w:rsid w:val="001239BF"/>
    <w:rsid w:val="001267FD"/>
    <w:rsid w:val="001365CA"/>
    <w:rsid w:val="0013798E"/>
    <w:rsid w:val="00141DA7"/>
    <w:rsid w:val="00141E2F"/>
    <w:rsid w:val="0015058F"/>
    <w:rsid w:val="001537DE"/>
    <w:rsid w:val="001631AC"/>
    <w:rsid w:val="00164511"/>
    <w:rsid w:val="0016683A"/>
    <w:rsid w:val="00172DCC"/>
    <w:rsid w:val="001737AE"/>
    <w:rsid w:val="00174F73"/>
    <w:rsid w:val="00176846"/>
    <w:rsid w:val="0017702F"/>
    <w:rsid w:val="0018045C"/>
    <w:rsid w:val="001842CF"/>
    <w:rsid w:val="00187646"/>
    <w:rsid w:val="00196924"/>
    <w:rsid w:val="001A03FC"/>
    <w:rsid w:val="001A188C"/>
    <w:rsid w:val="001A1FF1"/>
    <w:rsid w:val="001A7116"/>
    <w:rsid w:val="001A7971"/>
    <w:rsid w:val="001B09E2"/>
    <w:rsid w:val="001C6364"/>
    <w:rsid w:val="001C678D"/>
    <w:rsid w:val="001D6AC6"/>
    <w:rsid w:val="001D70EA"/>
    <w:rsid w:val="001D791A"/>
    <w:rsid w:val="001F02E0"/>
    <w:rsid w:val="001F1BED"/>
    <w:rsid w:val="001F5889"/>
    <w:rsid w:val="0020246A"/>
    <w:rsid w:val="002056DD"/>
    <w:rsid w:val="00212364"/>
    <w:rsid w:val="0021264D"/>
    <w:rsid w:val="0021299C"/>
    <w:rsid w:val="0021555E"/>
    <w:rsid w:val="00216978"/>
    <w:rsid w:val="0022148E"/>
    <w:rsid w:val="002253AD"/>
    <w:rsid w:val="00227475"/>
    <w:rsid w:val="0023791D"/>
    <w:rsid w:val="00243E71"/>
    <w:rsid w:val="002445D2"/>
    <w:rsid w:val="002464C5"/>
    <w:rsid w:val="00254B92"/>
    <w:rsid w:val="00260A67"/>
    <w:rsid w:val="00266EDA"/>
    <w:rsid w:val="0027308D"/>
    <w:rsid w:val="0027331E"/>
    <w:rsid w:val="00274304"/>
    <w:rsid w:val="002763EB"/>
    <w:rsid w:val="002779D3"/>
    <w:rsid w:val="0028152C"/>
    <w:rsid w:val="00282D8D"/>
    <w:rsid w:val="002903C5"/>
    <w:rsid w:val="002922F6"/>
    <w:rsid w:val="0029359B"/>
    <w:rsid w:val="00296937"/>
    <w:rsid w:val="002A1FEC"/>
    <w:rsid w:val="002A58BA"/>
    <w:rsid w:val="002A7005"/>
    <w:rsid w:val="002B2C93"/>
    <w:rsid w:val="002B3C94"/>
    <w:rsid w:val="002B49E5"/>
    <w:rsid w:val="002B548A"/>
    <w:rsid w:val="002C4045"/>
    <w:rsid w:val="002C4615"/>
    <w:rsid w:val="002C4DAE"/>
    <w:rsid w:val="002C5471"/>
    <w:rsid w:val="002C5907"/>
    <w:rsid w:val="002D1C8B"/>
    <w:rsid w:val="002D6EE9"/>
    <w:rsid w:val="002D7EEB"/>
    <w:rsid w:val="002E2D7F"/>
    <w:rsid w:val="002E6663"/>
    <w:rsid w:val="002F0B0D"/>
    <w:rsid w:val="002F3BF8"/>
    <w:rsid w:val="002F3D8A"/>
    <w:rsid w:val="002F461C"/>
    <w:rsid w:val="002F6046"/>
    <w:rsid w:val="00302FF2"/>
    <w:rsid w:val="0030329F"/>
    <w:rsid w:val="00314B32"/>
    <w:rsid w:val="00314D9F"/>
    <w:rsid w:val="003225D2"/>
    <w:rsid w:val="00325423"/>
    <w:rsid w:val="00325A3E"/>
    <w:rsid w:val="00330EF8"/>
    <w:rsid w:val="003320A2"/>
    <w:rsid w:val="00333348"/>
    <w:rsid w:val="00336EC2"/>
    <w:rsid w:val="003401DA"/>
    <w:rsid w:val="00341F22"/>
    <w:rsid w:val="00344D47"/>
    <w:rsid w:val="00347000"/>
    <w:rsid w:val="003500A8"/>
    <w:rsid w:val="0035018C"/>
    <w:rsid w:val="0035203C"/>
    <w:rsid w:val="0035439C"/>
    <w:rsid w:val="00355244"/>
    <w:rsid w:val="00357B63"/>
    <w:rsid w:val="00371EB9"/>
    <w:rsid w:val="003730E6"/>
    <w:rsid w:val="003735DD"/>
    <w:rsid w:val="00386F66"/>
    <w:rsid w:val="00392EA6"/>
    <w:rsid w:val="00393CBA"/>
    <w:rsid w:val="003954EA"/>
    <w:rsid w:val="003A362B"/>
    <w:rsid w:val="003A451B"/>
    <w:rsid w:val="003A46B4"/>
    <w:rsid w:val="003B3B67"/>
    <w:rsid w:val="003B4CD4"/>
    <w:rsid w:val="003B5227"/>
    <w:rsid w:val="003C337B"/>
    <w:rsid w:val="003C4818"/>
    <w:rsid w:val="003C74BD"/>
    <w:rsid w:val="003D2256"/>
    <w:rsid w:val="003D7205"/>
    <w:rsid w:val="003E2753"/>
    <w:rsid w:val="003E2BCC"/>
    <w:rsid w:val="003E3375"/>
    <w:rsid w:val="003E5563"/>
    <w:rsid w:val="003F096C"/>
    <w:rsid w:val="003F285C"/>
    <w:rsid w:val="003F3637"/>
    <w:rsid w:val="003F4983"/>
    <w:rsid w:val="003F7D34"/>
    <w:rsid w:val="00400700"/>
    <w:rsid w:val="004034EE"/>
    <w:rsid w:val="004076F7"/>
    <w:rsid w:val="00410A77"/>
    <w:rsid w:val="00413BF5"/>
    <w:rsid w:val="00417C3C"/>
    <w:rsid w:val="00424CD7"/>
    <w:rsid w:val="00426F77"/>
    <w:rsid w:val="0043049C"/>
    <w:rsid w:val="00430627"/>
    <w:rsid w:val="004315F0"/>
    <w:rsid w:val="004353A1"/>
    <w:rsid w:val="004375C7"/>
    <w:rsid w:val="00440258"/>
    <w:rsid w:val="004418F6"/>
    <w:rsid w:val="00441F68"/>
    <w:rsid w:val="004422EA"/>
    <w:rsid w:val="00442C37"/>
    <w:rsid w:val="0044460C"/>
    <w:rsid w:val="00444A1B"/>
    <w:rsid w:val="00447A67"/>
    <w:rsid w:val="00451558"/>
    <w:rsid w:val="00452A38"/>
    <w:rsid w:val="00452CF3"/>
    <w:rsid w:val="00454654"/>
    <w:rsid w:val="00454D51"/>
    <w:rsid w:val="00455219"/>
    <w:rsid w:val="004556BE"/>
    <w:rsid w:val="0045588E"/>
    <w:rsid w:val="00457ABD"/>
    <w:rsid w:val="0046194E"/>
    <w:rsid w:val="00462915"/>
    <w:rsid w:val="0046354E"/>
    <w:rsid w:val="004660F6"/>
    <w:rsid w:val="00467670"/>
    <w:rsid w:val="0046768E"/>
    <w:rsid w:val="00474FD1"/>
    <w:rsid w:val="00477F22"/>
    <w:rsid w:val="0048088E"/>
    <w:rsid w:val="004902BA"/>
    <w:rsid w:val="00490CF9"/>
    <w:rsid w:val="00491060"/>
    <w:rsid w:val="00491AB7"/>
    <w:rsid w:val="00493278"/>
    <w:rsid w:val="00494199"/>
    <w:rsid w:val="0049548A"/>
    <w:rsid w:val="0049564F"/>
    <w:rsid w:val="004966ED"/>
    <w:rsid w:val="00496AB2"/>
    <w:rsid w:val="00497807"/>
    <w:rsid w:val="004A13D5"/>
    <w:rsid w:val="004A1A53"/>
    <w:rsid w:val="004A1C50"/>
    <w:rsid w:val="004A427E"/>
    <w:rsid w:val="004B0900"/>
    <w:rsid w:val="004B0DE7"/>
    <w:rsid w:val="004B266D"/>
    <w:rsid w:val="004B29E1"/>
    <w:rsid w:val="004B597C"/>
    <w:rsid w:val="004B6EE2"/>
    <w:rsid w:val="004C0067"/>
    <w:rsid w:val="004C42D7"/>
    <w:rsid w:val="004C44EA"/>
    <w:rsid w:val="004C59D3"/>
    <w:rsid w:val="004C6D07"/>
    <w:rsid w:val="004C74D9"/>
    <w:rsid w:val="004D0CA9"/>
    <w:rsid w:val="004D3F90"/>
    <w:rsid w:val="004D41FD"/>
    <w:rsid w:val="004E120F"/>
    <w:rsid w:val="004E22BD"/>
    <w:rsid w:val="004E305D"/>
    <w:rsid w:val="004E4CCB"/>
    <w:rsid w:val="004E6270"/>
    <w:rsid w:val="005006F2"/>
    <w:rsid w:val="0050400C"/>
    <w:rsid w:val="00506A6F"/>
    <w:rsid w:val="00506AAE"/>
    <w:rsid w:val="00510ED2"/>
    <w:rsid w:val="005154DF"/>
    <w:rsid w:val="00516343"/>
    <w:rsid w:val="005166F3"/>
    <w:rsid w:val="00517252"/>
    <w:rsid w:val="00517C37"/>
    <w:rsid w:val="00523C59"/>
    <w:rsid w:val="0052417A"/>
    <w:rsid w:val="00526633"/>
    <w:rsid w:val="00527136"/>
    <w:rsid w:val="00527F58"/>
    <w:rsid w:val="00535D95"/>
    <w:rsid w:val="00540FAB"/>
    <w:rsid w:val="00541A94"/>
    <w:rsid w:val="00551347"/>
    <w:rsid w:val="0055307E"/>
    <w:rsid w:val="005542DD"/>
    <w:rsid w:val="005558C3"/>
    <w:rsid w:val="00556FE6"/>
    <w:rsid w:val="005571F2"/>
    <w:rsid w:val="00562F8C"/>
    <w:rsid w:val="005702BE"/>
    <w:rsid w:val="005733AB"/>
    <w:rsid w:val="0057732A"/>
    <w:rsid w:val="00577CC4"/>
    <w:rsid w:val="00581311"/>
    <w:rsid w:val="00583159"/>
    <w:rsid w:val="00584D14"/>
    <w:rsid w:val="005868C6"/>
    <w:rsid w:val="0058794D"/>
    <w:rsid w:val="00593778"/>
    <w:rsid w:val="00594E97"/>
    <w:rsid w:val="00597410"/>
    <w:rsid w:val="005A6D59"/>
    <w:rsid w:val="005B1770"/>
    <w:rsid w:val="005B25B3"/>
    <w:rsid w:val="005B37C7"/>
    <w:rsid w:val="005B3DEF"/>
    <w:rsid w:val="005B56FD"/>
    <w:rsid w:val="005C29C2"/>
    <w:rsid w:val="005D143B"/>
    <w:rsid w:val="005E05E0"/>
    <w:rsid w:val="005E2D7F"/>
    <w:rsid w:val="005E44C7"/>
    <w:rsid w:val="005E63B5"/>
    <w:rsid w:val="005E6E96"/>
    <w:rsid w:val="005F202C"/>
    <w:rsid w:val="00601985"/>
    <w:rsid w:val="006022DE"/>
    <w:rsid w:val="00602FDA"/>
    <w:rsid w:val="00605E23"/>
    <w:rsid w:val="0060710C"/>
    <w:rsid w:val="0060776A"/>
    <w:rsid w:val="00613E94"/>
    <w:rsid w:val="006163A8"/>
    <w:rsid w:val="00623E49"/>
    <w:rsid w:val="00633DB9"/>
    <w:rsid w:val="00634403"/>
    <w:rsid w:val="00634D0D"/>
    <w:rsid w:val="00636600"/>
    <w:rsid w:val="00636678"/>
    <w:rsid w:val="00636D50"/>
    <w:rsid w:val="00641B0A"/>
    <w:rsid w:val="006453A1"/>
    <w:rsid w:val="006459EC"/>
    <w:rsid w:val="00646F52"/>
    <w:rsid w:val="00650268"/>
    <w:rsid w:val="006515AD"/>
    <w:rsid w:val="00655BA4"/>
    <w:rsid w:val="00656779"/>
    <w:rsid w:val="006571DF"/>
    <w:rsid w:val="00661DA1"/>
    <w:rsid w:val="00662BD4"/>
    <w:rsid w:val="00667199"/>
    <w:rsid w:val="00670AF8"/>
    <w:rsid w:val="0067269B"/>
    <w:rsid w:val="006730E5"/>
    <w:rsid w:val="0067431E"/>
    <w:rsid w:val="006752AA"/>
    <w:rsid w:val="00683FF6"/>
    <w:rsid w:val="00686A8B"/>
    <w:rsid w:val="00687FD2"/>
    <w:rsid w:val="006919F5"/>
    <w:rsid w:val="00694661"/>
    <w:rsid w:val="006952A9"/>
    <w:rsid w:val="006A009D"/>
    <w:rsid w:val="006A0803"/>
    <w:rsid w:val="006A1464"/>
    <w:rsid w:val="006A1D27"/>
    <w:rsid w:val="006A3804"/>
    <w:rsid w:val="006A6B35"/>
    <w:rsid w:val="006B196E"/>
    <w:rsid w:val="006B20E1"/>
    <w:rsid w:val="006B3BAC"/>
    <w:rsid w:val="006B6248"/>
    <w:rsid w:val="006B722A"/>
    <w:rsid w:val="006B7FDD"/>
    <w:rsid w:val="006C29D1"/>
    <w:rsid w:val="006C2AB6"/>
    <w:rsid w:val="006C649D"/>
    <w:rsid w:val="006C694B"/>
    <w:rsid w:val="006D0D94"/>
    <w:rsid w:val="006D41C8"/>
    <w:rsid w:val="006D7747"/>
    <w:rsid w:val="006E005B"/>
    <w:rsid w:val="006E0EC9"/>
    <w:rsid w:val="006E1BAA"/>
    <w:rsid w:val="006E2C08"/>
    <w:rsid w:val="006E7363"/>
    <w:rsid w:val="006F23C2"/>
    <w:rsid w:val="006F313E"/>
    <w:rsid w:val="006F362B"/>
    <w:rsid w:val="006F39B1"/>
    <w:rsid w:val="00707914"/>
    <w:rsid w:val="00711CA1"/>
    <w:rsid w:val="00717BB1"/>
    <w:rsid w:val="00725973"/>
    <w:rsid w:val="0072623C"/>
    <w:rsid w:val="00726459"/>
    <w:rsid w:val="00732461"/>
    <w:rsid w:val="0073261F"/>
    <w:rsid w:val="007427DF"/>
    <w:rsid w:val="00745BFE"/>
    <w:rsid w:val="00750BD7"/>
    <w:rsid w:val="007523A9"/>
    <w:rsid w:val="00753AD0"/>
    <w:rsid w:val="007543E8"/>
    <w:rsid w:val="00756A6C"/>
    <w:rsid w:val="00760F48"/>
    <w:rsid w:val="00762087"/>
    <w:rsid w:val="00764D59"/>
    <w:rsid w:val="00766C0F"/>
    <w:rsid w:val="007730BC"/>
    <w:rsid w:val="0077326A"/>
    <w:rsid w:val="00773DFA"/>
    <w:rsid w:val="007803D8"/>
    <w:rsid w:val="00783D45"/>
    <w:rsid w:val="007859D3"/>
    <w:rsid w:val="00786024"/>
    <w:rsid w:val="0079310C"/>
    <w:rsid w:val="007A262A"/>
    <w:rsid w:val="007A5659"/>
    <w:rsid w:val="007A586D"/>
    <w:rsid w:val="007A6BA8"/>
    <w:rsid w:val="007A6D50"/>
    <w:rsid w:val="007B3B15"/>
    <w:rsid w:val="007B4229"/>
    <w:rsid w:val="007B543A"/>
    <w:rsid w:val="007C0A7A"/>
    <w:rsid w:val="007C41B0"/>
    <w:rsid w:val="007C7086"/>
    <w:rsid w:val="007D1BE6"/>
    <w:rsid w:val="007D225F"/>
    <w:rsid w:val="007D381A"/>
    <w:rsid w:val="007D3C54"/>
    <w:rsid w:val="007D4D89"/>
    <w:rsid w:val="007E31E0"/>
    <w:rsid w:val="007E597C"/>
    <w:rsid w:val="007E63C6"/>
    <w:rsid w:val="007F0633"/>
    <w:rsid w:val="007F319F"/>
    <w:rsid w:val="008016FB"/>
    <w:rsid w:val="00802ED0"/>
    <w:rsid w:val="00803D7E"/>
    <w:rsid w:val="0080428A"/>
    <w:rsid w:val="00812D35"/>
    <w:rsid w:val="00813841"/>
    <w:rsid w:val="00816D12"/>
    <w:rsid w:val="0082031B"/>
    <w:rsid w:val="00823BB5"/>
    <w:rsid w:val="00824599"/>
    <w:rsid w:val="008321B2"/>
    <w:rsid w:val="00832782"/>
    <w:rsid w:val="00832A36"/>
    <w:rsid w:val="00832CEF"/>
    <w:rsid w:val="008339FC"/>
    <w:rsid w:val="008349D8"/>
    <w:rsid w:val="00835BB8"/>
    <w:rsid w:val="0085261B"/>
    <w:rsid w:val="008538AF"/>
    <w:rsid w:val="00853FE1"/>
    <w:rsid w:val="0085521F"/>
    <w:rsid w:val="00857899"/>
    <w:rsid w:val="008578A5"/>
    <w:rsid w:val="00866A7F"/>
    <w:rsid w:val="008723A5"/>
    <w:rsid w:val="008746C5"/>
    <w:rsid w:val="008752FE"/>
    <w:rsid w:val="0087551B"/>
    <w:rsid w:val="00877296"/>
    <w:rsid w:val="00881C45"/>
    <w:rsid w:val="0088215F"/>
    <w:rsid w:val="00884937"/>
    <w:rsid w:val="0088511B"/>
    <w:rsid w:val="00886BB2"/>
    <w:rsid w:val="0088779B"/>
    <w:rsid w:val="00887887"/>
    <w:rsid w:val="00893AB6"/>
    <w:rsid w:val="00894EA1"/>
    <w:rsid w:val="008963E3"/>
    <w:rsid w:val="0089715C"/>
    <w:rsid w:val="008A4A15"/>
    <w:rsid w:val="008B1C1C"/>
    <w:rsid w:val="008B3290"/>
    <w:rsid w:val="008B3E78"/>
    <w:rsid w:val="008B4890"/>
    <w:rsid w:val="008B5E08"/>
    <w:rsid w:val="008B78D5"/>
    <w:rsid w:val="008B7F5D"/>
    <w:rsid w:val="008C3F3F"/>
    <w:rsid w:val="008C730B"/>
    <w:rsid w:val="008D49BF"/>
    <w:rsid w:val="008D5937"/>
    <w:rsid w:val="008D69CD"/>
    <w:rsid w:val="008E0F65"/>
    <w:rsid w:val="008E4E3D"/>
    <w:rsid w:val="008E56FB"/>
    <w:rsid w:val="008E69DF"/>
    <w:rsid w:val="008E77D5"/>
    <w:rsid w:val="008F0C7E"/>
    <w:rsid w:val="008F2D45"/>
    <w:rsid w:val="008F5FBB"/>
    <w:rsid w:val="009042F9"/>
    <w:rsid w:val="00905CB3"/>
    <w:rsid w:val="00906F80"/>
    <w:rsid w:val="009104FD"/>
    <w:rsid w:val="00910B03"/>
    <w:rsid w:val="00911350"/>
    <w:rsid w:val="0091136B"/>
    <w:rsid w:val="00915F65"/>
    <w:rsid w:val="00920E5E"/>
    <w:rsid w:val="009217D7"/>
    <w:rsid w:val="009226B9"/>
    <w:rsid w:val="00922720"/>
    <w:rsid w:val="009314BE"/>
    <w:rsid w:val="00932C03"/>
    <w:rsid w:val="009370A1"/>
    <w:rsid w:val="009375A6"/>
    <w:rsid w:val="009401EB"/>
    <w:rsid w:val="00941BC4"/>
    <w:rsid w:val="0094294C"/>
    <w:rsid w:val="009444A9"/>
    <w:rsid w:val="00944952"/>
    <w:rsid w:val="00950BAB"/>
    <w:rsid w:val="00962A12"/>
    <w:rsid w:val="00964137"/>
    <w:rsid w:val="00965AD5"/>
    <w:rsid w:val="00970138"/>
    <w:rsid w:val="00971940"/>
    <w:rsid w:val="00974219"/>
    <w:rsid w:val="00977DE4"/>
    <w:rsid w:val="009853E0"/>
    <w:rsid w:val="0098744E"/>
    <w:rsid w:val="00991EFC"/>
    <w:rsid w:val="00993A59"/>
    <w:rsid w:val="00993E50"/>
    <w:rsid w:val="009946D0"/>
    <w:rsid w:val="00994CC6"/>
    <w:rsid w:val="009963D4"/>
    <w:rsid w:val="00996651"/>
    <w:rsid w:val="009A35EC"/>
    <w:rsid w:val="009B0F08"/>
    <w:rsid w:val="009B57C1"/>
    <w:rsid w:val="009C2743"/>
    <w:rsid w:val="009C2756"/>
    <w:rsid w:val="009C6B61"/>
    <w:rsid w:val="009D01B1"/>
    <w:rsid w:val="009D0A4A"/>
    <w:rsid w:val="009D54F3"/>
    <w:rsid w:val="009E124C"/>
    <w:rsid w:val="009E2D0F"/>
    <w:rsid w:val="009E6850"/>
    <w:rsid w:val="009E79FB"/>
    <w:rsid w:val="009F193D"/>
    <w:rsid w:val="009F59E1"/>
    <w:rsid w:val="00A00020"/>
    <w:rsid w:val="00A006FA"/>
    <w:rsid w:val="00A01E14"/>
    <w:rsid w:val="00A0363C"/>
    <w:rsid w:val="00A070B1"/>
    <w:rsid w:val="00A21656"/>
    <w:rsid w:val="00A22278"/>
    <w:rsid w:val="00A22F7E"/>
    <w:rsid w:val="00A25BC6"/>
    <w:rsid w:val="00A32B99"/>
    <w:rsid w:val="00A3300D"/>
    <w:rsid w:val="00A3589D"/>
    <w:rsid w:val="00A3615B"/>
    <w:rsid w:val="00A37074"/>
    <w:rsid w:val="00A41493"/>
    <w:rsid w:val="00A41507"/>
    <w:rsid w:val="00A415FD"/>
    <w:rsid w:val="00A4290B"/>
    <w:rsid w:val="00A42962"/>
    <w:rsid w:val="00A44E83"/>
    <w:rsid w:val="00A45882"/>
    <w:rsid w:val="00A506B3"/>
    <w:rsid w:val="00A51F9D"/>
    <w:rsid w:val="00A5210C"/>
    <w:rsid w:val="00A54DB9"/>
    <w:rsid w:val="00A54E4F"/>
    <w:rsid w:val="00A56028"/>
    <w:rsid w:val="00A65203"/>
    <w:rsid w:val="00A71E1F"/>
    <w:rsid w:val="00A720BC"/>
    <w:rsid w:val="00A739A8"/>
    <w:rsid w:val="00A755F9"/>
    <w:rsid w:val="00A77865"/>
    <w:rsid w:val="00A83213"/>
    <w:rsid w:val="00A83854"/>
    <w:rsid w:val="00A93D6D"/>
    <w:rsid w:val="00A97C2D"/>
    <w:rsid w:val="00A97C67"/>
    <w:rsid w:val="00AA2F06"/>
    <w:rsid w:val="00AA3090"/>
    <w:rsid w:val="00AA4DA0"/>
    <w:rsid w:val="00AA5100"/>
    <w:rsid w:val="00AA76C4"/>
    <w:rsid w:val="00AB0489"/>
    <w:rsid w:val="00AB2E37"/>
    <w:rsid w:val="00AC50F7"/>
    <w:rsid w:val="00AC753E"/>
    <w:rsid w:val="00AC7A9F"/>
    <w:rsid w:val="00AD1A34"/>
    <w:rsid w:val="00AD3E3F"/>
    <w:rsid w:val="00AD3FAC"/>
    <w:rsid w:val="00AD4D7B"/>
    <w:rsid w:val="00AE19C5"/>
    <w:rsid w:val="00AF1EAA"/>
    <w:rsid w:val="00AF32E0"/>
    <w:rsid w:val="00AF4A70"/>
    <w:rsid w:val="00AF5A43"/>
    <w:rsid w:val="00AF6C8C"/>
    <w:rsid w:val="00AF7D30"/>
    <w:rsid w:val="00B1068E"/>
    <w:rsid w:val="00B1640B"/>
    <w:rsid w:val="00B17988"/>
    <w:rsid w:val="00B2610F"/>
    <w:rsid w:val="00B27BAE"/>
    <w:rsid w:val="00B30407"/>
    <w:rsid w:val="00B306B4"/>
    <w:rsid w:val="00B3244C"/>
    <w:rsid w:val="00B32673"/>
    <w:rsid w:val="00B3480B"/>
    <w:rsid w:val="00B354C2"/>
    <w:rsid w:val="00B434B5"/>
    <w:rsid w:val="00B50F0B"/>
    <w:rsid w:val="00B5294E"/>
    <w:rsid w:val="00B536DC"/>
    <w:rsid w:val="00B61E3B"/>
    <w:rsid w:val="00B63D45"/>
    <w:rsid w:val="00B64FC4"/>
    <w:rsid w:val="00B7116B"/>
    <w:rsid w:val="00B71B50"/>
    <w:rsid w:val="00B722EF"/>
    <w:rsid w:val="00B754EE"/>
    <w:rsid w:val="00B760BD"/>
    <w:rsid w:val="00B77BDE"/>
    <w:rsid w:val="00B77FA7"/>
    <w:rsid w:val="00B8240E"/>
    <w:rsid w:val="00B83BB8"/>
    <w:rsid w:val="00B845B6"/>
    <w:rsid w:val="00B86736"/>
    <w:rsid w:val="00B92592"/>
    <w:rsid w:val="00B92C33"/>
    <w:rsid w:val="00B937F7"/>
    <w:rsid w:val="00B942DC"/>
    <w:rsid w:val="00B9464E"/>
    <w:rsid w:val="00B9533E"/>
    <w:rsid w:val="00B97F7E"/>
    <w:rsid w:val="00BA1E0C"/>
    <w:rsid w:val="00BA2012"/>
    <w:rsid w:val="00BA46ED"/>
    <w:rsid w:val="00BB35CD"/>
    <w:rsid w:val="00BB3890"/>
    <w:rsid w:val="00BB392E"/>
    <w:rsid w:val="00BB5C57"/>
    <w:rsid w:val="00BB6384"/>
    <w:rsid w:val="00BC15C3"/>
    <w:rsid w:val="00BC5DBA"/>
    <w:rsid w:val="00BC5DDE"/>
    <w:rsid w:val="00BC6F4D"/>
    <w:rsid w:val="00BD1D3A"/>
    <w:rsid w:val="00BD5223"/>
    <w:rsid w:val="00BD62F8"/>
    <w:rsid w:val="00BE183B"/>
    <w:rsid w:val="00BE1D43"/>
    <w:rsid w:val="00BE56ED"/>
    <w:rsid w:val="00BE5FA3"/>
    <w:rsid w:val="00BF0AAE"/>
    <w:rsid w:val="00BF0D95"/>
    <w:rsid w:val="00BF1B7B"/>
    <w:rsid w:val="00BF2B1D"/>
    <w:rsid w:val="00BF2FF8"/>
    <w:rsid w:val="00BF3639"/>
    <w:rsid w:val="00BF5575"/>
    <w:rsid w:val="00BF630A"/>
    <w:rsid w:val="00BF7B67"/>
    <w:rsid w:val="00C0146D"/>
    <w:rsid w:val="00C043A5"/>
    <w:rsid w:val="00C05927"/>
    <w:rsid w:val="00C06B48"/>
    <w:rsid w:val="00C07625"/>
    <w:rsid w:val="00C108EA"/>
    <w:rsid w:val="00C12B1E"/>
    <w:rsid w:val="00C16AC2"/>
    <w:rsid w:val="00C22818"/>
    <w:rsid w:val="00C324F7"/>
    <w:rsid w:val="00C32CE0"/>
    <w:rsid w:val="00C352AF"/>
    <w:rsid w:val="00C355A5"/>
    <w:rsid w:val="00C36A63"/>
    <w:rsid w:val="00C405D1"/>
    <w:rsid w:val="00C408DC"/>
    <w:rsid w:val="00C43757"/>
    <w:rsid w:val="00C46524"/>
    <w:rsid w:val="00C46AE2"/>
    <w:rsid w:val="00C46EB5"/>
    <w:rsid w:val="00C477E6"/>
    <w:rsid w:val="00C51E3F"/>
    <w:rsid w:val="00C520C0"/>
    <w:rsid w:val="00C617EF"/>
    <w:rsid w:val="00C61B87"/>
    <w:rsid w:val="00C64AC3"/>
    <w:rsid w:val="00C71BF1"/>
    <w:rsid w:val="00C727AF"/>
    <w:rsid w:val="00C80C01"/>
    <w:rsid w:val="00C828EF"/>
    <w:rsid w:val="00C8711E"/>
    <w:rsid w:val="00C95A2F"/>
    <w:rsid w:val="00C96336"/>
    <w:rsid w:val="00C9651B"/>
    <w:rsid w:val="00CA1061"/>
    <w:rsid w:val="00CA3F8C"/>
    <w:rsid w:val="00CA4669"/>
    <w:rsid w:val="00CA7DB8"/>
    <w:rsid w:val="00CB1E0A"/>
    <w:rsid w:val="00CB2EAC"/>
    <w:rsid w:val="00CB4A45"/>
    <w:rsid w:val="00CB4D01"/>
    <w:rsid w:val="00CC1155"/>
    <w:rsid w:val="00CC1D46"/>
    <w:rsid w:val="00CC5466"/>
    <w:rsid w:val="00CC5F74"/>
    <w:rsid w:val="00CC7C6C"/>
    <w:rsid w:val="00CD0577"/>
    <w:rsid w:val="00CD269F"/>
    <w:rsid w:val="00CD31EB"/>
    <w:rsid w:val="00CD3ECD"/>
    <w:rsid w:val="00CD5921"/>
    <w:rsid w:val="00CD7F96"/>
    <w:rsid w:val="00CE045A"/>
    <w:rsid w:val="00CE4F79"/>
    <w:rsid w:val="00CE555E"/>
    <w:rsid w:val="00CF391D"/>
    <w:rsid w:val="00CF3F75"/>
    <w:rsid w:val="00CF4467"/>
    <w:rsid w:val="00CF4CA3"/>
    <w:rsid w:val="00CF7555"/>
    <w:rsid w:val="00D0088D"/>
    <w:rsid w:val="00D05CB3"/>
    <w:rsid w:val="00D13983"/>
    <w:rsid w:val="00D14F24"/>
    <w:rsid w:val="00D1639F"/>
    <w:rsid w:val="00D24D81"/>
    <w:rsid w:val="00D269ED"/>
    <w:rsid w:val="00D303BC"/>
    <w:rsid w:val="00D32DAF"/>
    <w:rsid w:val="00D42D69"/>
    <w:rsid w:val="00D435D5"/>
    <w:rsid w:val="00D47164"/>
    <w:rsid w:val="00D505BD"/>
    <w:rsid w:val="00D52D9B"/>
    <w:rsid w:val="00D54040"/>
    <w:rsid w:val="00D569C7"/>
    <w:rsid w:val="00D60B4B"/>
    <w:rsid w:val="00D60B65"/>
    <w:rsid w:val="00D61D45"/>
    <w:rsid w:val="00D654F8"/>
    <w:rsid w:val="00D71CAF"/>
    <w:rsid w:val="00D73A03"/>
    <w:rsid w:val="00D74CFE"/>
    <w:rsid w:val="00D77D44"/>
    <w:rsid w:val="00D841A8"/>
    <w:rsid w:val="00D8550A"/>
    <w:rsid w:val="00D874DC"/>
    <w:rsid w:val="00D92F4C"/>
    <w:rsid w:val="00D9492D"/>
    <w:rsid w:val="00D95425"/>
    <w:rsid w:val="00D956CE"/>
    <w:rsid w:val="00DA0DF2"/>
    <w:rsid w:val="00DA1087"/>
    <w:rsid w:val="00DA2E69"/>
    <w:rsid w:val="00DC037C"/>
    <w:rsid w:val="00DC1303"/>
    <w:rsid w:val="00DC2B38"/>
    <w:rsid w:val="00DD245A"/>
    <w:rsid w:val="00DD2B4D"/>
    <w:rsid w:val="00DD42F7"/>
    <w:rsid w:val="00DD4813"/>
    <w:rsid w:val="00DD6DEF"/>
    <w:rsid w:val="00DD74BF"/>
    <w:rsid w:val="00DE0F3D"/>
    <w:rsid w:val="00DE2239"/>
    <w:rsid w:val="00DE6864"/>
    <w:rsid w:val="00DF633F"/>
    <w:rsid w:val="00E003C3"/>
    <w:rsid w:val="00E104A8"/>
    <w:rsid w:val="00E10E6F"/>
    <w:rsid w:val="00E11202"/>
    <w:rsid w:val="00E124B9"/>
    <w:rsid w:val="00E203DA"/>
    <w:rsid w:val="00E22886"/>
    <w:rsid w:val="00E230B7"/>
    <w:rsid w:val="00E24F64"/>
    <w:rsid w:val="00E253D8"/>
    <w:rsid w:val="00E25E65"/>
    <w:rsid w:val="00E27059"/>
    <w:rsid w:val="00E344D7"/>
    <w:rsid w:val="00E37B0D"/>
    <w:rsid w:val="00E42048"/>
    <w:rsid w:val="00E433F1"/>
    <w:rsid w:val="00E43EF2"/>
    <w:rsid w:val="00E4696A"/>
    <w:rsid w:val="00E51550"/>
    <w:rsid w:val="00E524A1"/>
    <w:rsid w:val="00E52557"/>
    <w:rsid w:val="00E545C5"/>
    <w:rsid w:val="00E551AB"/>
    <w:rsid w:val="00E556C5"/>
    <w:rsid w:val="00E55C93"/>
    <w:rsid w:val="00E574B0"/>
    <w:rsid w:val="00E57B88"/>
    <w:rsid w:val="00E71B38"/>
    <w:rsid w:val="00E724C8"/>
    <w:rsid w:val="00E75AE2"/>
    <w:rsid w:val="00E75C68"/>
    <w:rsid w:val="00E90918"/>
    <w:rsid w:val="00E909C7"/>
    <w:rsid w:val="00E937E6"/>
    <w:rsid w:val="00E95EC4"/>
    <w:rsid w:val="00EA13A8"/>
    <w:rsid w:val="00EA5216"/>
    <w:rsid w:val="00EB028B"/>
    <w:rsid w:val="00EB0A79"/>
    <w:rsid w:val="00EB4F7F"/>
    <w:rsid w:val="00EC0E55"/>
    <w:rsid w:val="00EC1C29"/>
    <w:rsid w:val="00EC233E"/>
    <w:rsid w:val="00EC29A8"/>
    <w:rsid w:val="00EC3419"/>
    <w:rsid w:val="00ED2772"/>
    <w:rsid w:val="00ED5F6B"/>
    <w:rsid w:val="00ED64BD"/>
    <w:rsid w:val="00ED78BC"/>
    <w:rsid w:val="00EE2B23"/>
    <w:rsid w:val="00EE7ED7"/>
    <w:rsid w:val="00EF0276"/>
    <w:rsid w:val="00EF2A3C"/>
    <w:rsid w:val="00EF363F"/>
    <w:rsid w:val="00F00982"/>
    <w:rsid w:val="00F0368F"/>
    <w:rsid w:val="00F03BCD"/>
    <w:rsid w:val="00F0418D"/>
    <w:rsid w:val="00F05E56"/>
    <w:rsid w:val="00F062FD"/>
    <w:rsid w:val="00F15AC0"/>
    <w:rsid w:val="00F2120E"/>
    <w:rsid w:val="00F229C4"/>
    <w:rsid w:val="00F253E2"/>
    <w:rsid w:val="00F25B74"/>
    <w:rsid w:val="00F260D0"/>
    <w:rsid w:val="00F302F5"/>
    <w:rsid w:val="00F36B4E"/>
    <w:rsid w:val="00F411B0"/>
    <w:rsid w:val="00F42E6A"/>
    <w:rsid w:val="00F44921"/>
    <w:rsid w:val="00F45D84"/>
    <w:rsid w:val="00F461BB"/>
    <w:rsid w:val="00F511C1"/>
    <w:rsid w:val="00F54F8A"/>
    <w:rsid w:val="00F55E39"/>
    <w:rsid w:val="00F621A9"/>
    <w:rsid w:val="00F644DE"/>
    <w:rsid w:val="00F66F83"/>
    <w:rsid w:val="00F737AA"/>
    <w:rsid w:val="00F7523E"/>
    <w:rsid w:val="00F7597A"/>
    <w:rsid w:val="00F75BD9"/>
    <w:rsid w:val="00F75CBC"/>
    <w:rsid w:val="00F94899"/>
    <w:rsid w:val="00F9597D"/>
    <w:rsid w:val="00F9791E"/>
    <w:rsid w:val="00FA04A0"/>
    <w:rsid w:val="00FA29E7"/>
    <w:rsid w:val="00FA79E4"/>
    <w:rsid w:val="00FB7D49"/>
    <w:rsid w:val="00FC16AC"/>
    <w:rsid w:val="00FC16C3"/>
    <w:rsid w:val="00FC1952"/>
    <w:rsid w:val="00FC2862"/>
    <w:rsid w:val="00FC3C48"/>
    <w:rsid w:val="00FC5FB8"/>
    <w:rsid w:val="00FD020B"/>
    <w:rsid w:val="00FD1956"/>
    <w:rsid w:val="00FD56B9"/>
    <w:rsid w:val="00FE6474"/>
    <w:rsid w:val="00FF1B03"/>
    <w:rsid w:val="00FF3C59"/>
    <w:rsid w:val="00FF6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0A1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9370A1"/>
    <w:pPr>
      <w:ind w:left="1032" w:hanging="181"/>
    </w:pPr>
  </w:style>
  <w:style w:type="paragraph" w:styleId="2">
    <w:name w:val="Body Text Indent 2"/>
    <w:basedOn w:val="a"/>
    <w:semiHidden/>
    <w:rsid w:val="009370A1"/>
    <w:pPr>
      <w:ind w:left="340" w:hanging="340"/>
    </w:pPr>
  </w:style>
  <w:style w:type="paragraph" w:styleId="3">
    <w:name w:val="Body Text Indent 3"/>
    <w:basedOn w:val="a"/>
    <w:semiHidden/>
    <w:rsid w:val="009370A1"/>
    <w:pPr>
      <w:tabs>
        <w:tab w:val="left" w:pos="8040"/>
      </w:tabs>
      <w:ind w:left="720" w:hanging="720"/>
    </w:pPr>
    <w:rPr>
      <w:rFonts w:ascii="新細明體"/>
    </w:rPr>
  </w:style>
  <w:style w:type="paragraph" w:styleId="a4">
    <w:name w:val="Body Text"/>
    <w:basedOn w:val="a"/>
    <w:semiHidden/>
    <w:rsid w:val="009370A1"/>
    <w:pPr>
      <w:tabs>
        <w:tab w:val="left" w:pos="8040"/>
      </w:tabs>
      <w:jc w:val="both"/>
    </w:pPr>
    <w:rPr>
      <w:rFonts w:eastAsia="標楷體"/>
      <w:sz w:val="28"/>
    </w:rPr>
  </w:style>
  <w:style w:type="paragraph" w:styleId="a5">
    <w:name w:val="footer"/>
    <w:basedOn w:val="a"/>
    <w:semiHidden/>
    <w:rsid w:val="009370A1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  <w:semiHidden/>
    <w:rsid w:val="009370A1"/>
  </w:style>
  <w:style w:type="paragraph" w:styleId="a7">
    <w:name w:val="header"/>
    <w:basedOn w:val="a"/>
    <w:semiHidden/>
    <w:rsid w:val="009370A1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Date"/>
    <w:basedOn w:val="a"/>
    <w:next w:val="a"/>
    <w:semiHidden/>
    <w:rsid w:val="009370A1"/>
    <w:pPr>
      <w:jc w:val="right"/>
    </w:pPr>
    <w:rPr>
      <w:rFonts w:ascii="標楷體" w:eastAsia="標楷體"/>
      <w:b/>
      <w:sz w:val="26"/>
    </w:rPr>
  </w:style>
  <w:style w:type="character" w:styleId="a9">
    <w:name w:val="Hyperlink"/>
    <w:basedOn w:val="a0"/>
    <w:semiHidden/>
    <w:rsid w:val="009370A1"/>
    <w:rPr>
      <w:color w:val="003366"/>
      <w:u w:val="single"/>
    </w:rPr>
  </w:style>
  <w:style w:type="paragraph" w:styleId="HTML">
    <w:name w:val="HTML Preformatted"/>
    <w:basedOn w:val="a"/>
    <w:link w:val="HTML0"/>
    <w:uiPriority w:val="99"/>
    <w:rsid w:val="009370A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333333"/>
      <w:kern w:val="0"/>
      <w:sz w:val="20"/>
    </w:rPr>
  </w:style>
  <w:style w:type="character" w:styleId="aa">
    <w:name w:val="FollowedHyperlink"/>
    <w:basedOn w:val="a0"/>
    <w:semiHidden/>
    <w:rsid w:val="009370A1"/>
    <w:rPr>
      <w:color w:val="800080"/>
      <w:u w:val="single"/>
    </w:rPr>
  </w:style>
  <w:style w:type="character" w:customStyle="1" w:styleId="HTML0">
    <w:name w:val="HTML 預設格式 字元"/>
    <w:basedOn w:val="a0"/>
    <w:link w:val="HTML"/>
    <w:uiPriority w:val="99"/>
    <w:rsid w:val="008D69CD"/>
    <w:rPr>
      <w:rFonts w:ascii="Arial Unicode MS" w:eastAsia="Arial Unicode MS" w:hAnsi="Arial Unicode MS" w:cs="Arial Unicode MS"/>
      <w:color w:val="333333"/>
    </w:rPr>
  </w:style>
  <w:style w:type="paragraph" w:customStyle="1" w:styleId="ab">
    <w:name w:val="說明一"/>
    <w:basedOn w:val="a"/>
    <w:rsid w:val="00CF7555"/>
    <w:pPr>
      <w:tabs>
        <w:tab w:val="left" w:pos="660"/>
      </w:tabs>
      <w:spacing w:line="340" w:lineRule="exact"/>
      <w:ind w:leftChars="100" w:left="300" w:hangingChars="200" w:hanging="200"/>
      <w:jc w:val="both"/>
    </w:pPr>
    <w:rPr>
      <w:sz w:val="22"/>
      <w:szCs w:val="24"/>
    </w:rPr>
  </w:style>
  <w:style w:type="paragraph" w:styleId="Web">
    <w:name w:val="Normal (Web)"/>
    <w:basedOn w:val="a"/>
    <w:semiHidden/>
    <w:rsid w:val="00C46AE2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D77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6D774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4A427E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CA20B-8FAF-4886-85B6-4D8525761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1417</Characters>
  <Application>Microsoft Office Word</Application>
  <DocSecurity>0</DocSecurity>
  <Lines>11</Lines>
  <Paragraphs>3</Paragraphs>
  <ScaleCrop>false</ScaleCrop>
  <Company>TWSE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臺灣證券交易所股份有限公司營業細則修正草案條文對照表</dc:title>
  <dc:creator>林振東</dc:creator>
  <cp:lastModifiedBy>0367</cp:lastModifiedBy>
  <cp:revision>3</cp:revision>
  <cp:lastPrinted>2016-04-28T09:02:00Z</cp:lastPrinted>
  <dcterms:created xsi:type="dcterms:W3CDTF">2016-07-06T02:30:00Z</dcterms:created>
  <dcterms:modified xsi:type="dcterms:W3CDTF">2016-07-06T02:35:00Z</dcterms:modified>
</cp:coreProperties>
</file>