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02"/>
        <w:gridCol w:w="1612"/>
        <w:gridCol w:w="6348"/>
      </w:tblGrid>
      <w:tr w:rsidR="001C5D5A" w:rsidRPr="001C5D5A" w:rsidTr="00225E1F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A" w:rsidRPr="001C5D5A" w:rsidRDefault="001C5D5A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RANGE!A1:C14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「機構投資人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守則」問答集</w:t>
            </w:r>
            <w:bookmarkEnd w:id="0"/>
          </w:p>
        </w:tc>
      </w:tr>
      <w:tr w:rsidR="001C5D5A" w:rsidRPr="001C5D5A" w:rsidTr="00225E1F">
        <w:trPr>
          <w:trHeight w:val="324"/>
          <w:tblHeader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C5D5A" w:rsidRPr="001C5D5A" w:rsidRDefault="001C5D5A" w:rsidP="001C5D5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C5D5A" w:rsidRPr="001C5D5A" w:rsidRDefault="001C5D5A" w:rsidP="001C5D5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問題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5D5A" w:rsidRPr="001C5D5A" w:rsidRDefault="001C5D5A" w:rsidP="001C5D5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回覆</w:t>
            </w:r>
          </w:p>
        </w:tc>
      </w:tr>
      <w:tr w:rsidR="001C5D5A" w:rsidRPr="001C5D5A" w:rsidTr="00E370ED">
        <w:trPr>
          <w:trHeight w:val="129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A" w:rsidRPr="001C5D5A" w:rsidRDefault="001C5D5A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D5A" w:rsidRPr="001C5D5A" w:rsidRDefault="00213C72" w:rsidP="00213C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簽署</w:t>
            </w:r>
            <w:r w:rsidR="001C5D5A"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本守則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</w:t>
            </w:r>
            <w:r w:rsidRPr="004A13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改變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簽署人</w:t>
            </w:r>
            <w:r w:rsidRPr="004A13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對客戶、受益人、股東或其他利害關係人既有之權利義務關係</w:t>
            </w:r>
            <w:r w:rsidR="001C5D5A"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？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5A" w:rsidRPr="001C5D5A" w:rsidRDefault="0079052A" w:rsidP="003021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機構投資人依照守則第三章要求，於其網站及公司治理中心指定之網站揭露遵循本守則之聲明(「遵循聲明」)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，並通知公司治理中心，即為簽署人。</w:t>
            </w:r>
            <w:r w:rsidRPr="004A13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簽署本守則之目的在於</w:t>
            </w:r>
            <w:r w:rsidR="00213C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</w:t>
            </w:r>
            <w:r w:rsidR="00C54662" w:rsidRPr="004A13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客戶、受益人、股東或其他利害關係人</w:t>
            </w:r>
            <w:r w:rsidR="00213C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瞭解機構投資人</w:t>
            </w:r>
            <w:r w:rsidR="00CF5D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  <w:r w:rsidR="00213C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於投資</w:t>
            </w:r>
            <w:r w:rsidR="003021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鏈</w:t>
            </w:r>
            <w:r w:rsidR="00CF5D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之定位、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="00CF5D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相關政策與實際作為；</w:t>
            </w:r>
            <w:r w:rsidR="00FE1168" w:rsidRPr="004A13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</w:t>
            </w:r>
            <w:r w:rsidRPr="004A13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構投資人</w:t>
            </w:r>
            <w:r w:rsidR="00FE1168" w:rsidRPr="004A13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不因簽署</w:t>
            </w:r>
            <w:r w:rsidR="001C5D5A" w:rsidRPr="004A13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本守則</w:t>
            </w:r>
            <w:r w:rsidR="00FE1168" w:rsidRPr="004A13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而增加、改變、限制或解除其對於客戶、受益人、股東或其他利害關係人既有之權利義務關係，</w:t>
            </w:r>
            <w:r w:rsidR="001C5D5A"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亦不對機構投資人之任何投資決策(例如短期買賣有價證券賺取價差或出售被投資公司持股)作出限制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="001C5D5A"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公司治理中心</w:t>
            </w:r>
            <w:r w:rsidR="00FE11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鼓勵機構投資人簽署</w:t>
            </w:r>
            <w:r w:rsidR="00C23D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並遵循</w:t>
            </w:r>
            <w:r w:rsidR="00FE11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守則，</w:t>
            </w:r>
            <w:r w:rsidR="00C23D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</w:t>
            </w:r>
            <w:r w:rsidR="00C23D6C" w:rsidRPr="004101D4">
              <w:rPr>
                <w:rFonts w:ascii="標楷體" w:eastAsia="標楷體" w:hAnsi="標楷體" w:cs="新細明體"/>
                <w:kern w:val="0"/>
                <w:szCs w:val="24"/>
              </w:rPr>
              <w:t>增進</w:t>
            </w:r>
            <w:r w:rsidR="00C23D6C"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本身及資金提供者</w:t>
            </w:r>
            <w:r w:rsidR="00C23D6C" w:rsidRPr="004101D4">
              <w:rPr>
                <w:rFonts w:ascii="標楷體" w:eastAsia="標楷體" w:hAnsi="標楷體" w:cs="新細明體"/>
                <w:kern w:val="0"/>
                <w:szCs w:val="24"/>
              </w:rPr>
              <w:t>之長期價值</w:t>
            </w:r>
            <w:r w:rsidR="00FE11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C23D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同時</w:t>
            </w:r>
            <w:r w:rsidR="00FE11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提升我國資本市場之公司治理品質</w:t>
            </w:r>
            <w:r w:rsidR="001C5D5A"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4A1324" w:rsidRPr="001C5D5A" w:rsidTr="00E370ED">
        <w:trPr>
          <w:trHeight w:val="129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4" w:rsidRPr="001C5D5A" w:rsidRDefault="004A1324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採用「遵循或解釋」模式之目的與效力為何？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24" w:rsidRPr="001C5D5A" w:rsidRDefault="004A1324" w:rsidP="003021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「遵循或解釋」起源於英國，在</w:t>
            </w:r>
            <w:r w:rsidR="003021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世界各地尤其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歐洲地區</w:t>
            </w:r>
            <w:r w:rsidR="003021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常被採用做為實施公司治理規範的一種方式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。遵循或解釋之目的在於使本守則保有彈性與靈活度，同時避免形式化的遵循，以激發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簽署人精進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方式。本守則非屬法規，亦無罰則，簽署人對部分原則無法遵循者，需於其遵循聲明內，或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併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於其網站或營業報告書、年報等報告內提供合理解釋；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惟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相關揭露務須秉持誠信透明原則。</w:t>
            </w:r>
          </w:p>
        </w:tc>
      </w:tr>
      <w:tr w:rsidR="004A1324" w:rsidRPr="001C5D5A" w:rsidTr="00E370ED">
        <w:trPr>
          <w:trHeight w:val="129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4" w:rsidRPr="001C5D5A" w:rsidRDefault="004A1324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簽署人對被投資公司未公開資訊之取得與運用是否有所規範？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24" w:rsidRPr="001C5D5A" w:rsidRDefault="004A1324" w:rsidP="003021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本守則並非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要求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機構投資人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不可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取得被投資公司內部資訊。機構投資人與被投資公司對話與互動之過程，若獲悉可能重大影響被投資公司股票價格之未公開資訊，</w:t>
            </w:r>
            <w:r w:rsidR="003021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則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依相關法規辦理，如</w:t>
            </w:r>
            <w:r w:rsidR="00B73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善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盡保密義務</w:t>
            </w:r>
            <w:r w:rsidR="00B73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避免造成內線交易</w:t>
            </w:r>
            <w:r w:rsidR="00B73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4A1324" w:rsidRPr="001C5D5A" w:rsidTr="00E370ED">
        <w:trPr>
          <w:trHeight w:val="129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4" w:rsidRPr="001C5D5A" w:rsidRDefault="004A1324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對於持股金額或比率不高的公司，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之程度是否得有差異？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機構投資人運籌資金龐大，投資對象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眾多，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使資源作最有效率的運用，以提升所擁有或管理資產之長期價值，機構投資人對被投資公司的關注、對話與互動程度得考量成本與效益而有所差異。本守則業於指引2-5、3-2、4-1、4-2、5-1、5-3、6-3等處納入重大性與成本效益之考量。</w:t>
            </w:r>
          </w:p>
        </w:tc>
      </w:tr>
      <w:tr w:rsidR="004A1324" w:rsidRPr="001C5D5A" w:rsidTr="00E370ED">
        <w:trPr>
          <w:trHeight w:val="259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4" w:rsidRPr="001C5D5A" w:rsidRDefault="004A1324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利益衝突管理可能之態樣與管理方式為何？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ED" w:rsidRPr="00E370ED" w:rsidRDefault="004A1324" w:rsidP="00E370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70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指引2-3列舉兩種常見的利益衝突態樣如下：</w:t>
            </w:r>
          </w:p>
          <w:p w:rsidR="00E370ED" w:rsidRDefault="004A1324" w:rsidP="00E370ED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70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機構投資人為其私利，而為對客戶或受益人不利之決策與行動。</w:t>
            </w:r>
          </w:p>
          <w:p w:rsidR="00E370ED" w:rsidRDefault="004A1324" w:rsidP="00E370ED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70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機構投資人為特定客戶或受益人之利益，而為對其他客戶、受益人或利害關係人不利之決策與行動。</w:t>
            </w:r>
          </w:p>
          <w:p w:rsidR="004A1324" w:rsidRPr="00E370ED" w:rsidRDefault="004A1324" w:rsidP="00E370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370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惟</w:t>
            </w:r>
            <w:proofErr w:type="gramEnd"/>
            <w:r w:rsidRPr="00E370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實務上，尚須考量機構投資人之員工可能造成之利益衝突，例如機構投資人員工為自身利益而犧牲被投資公司、客戶或受益人之利益，</w:t>
            </w:r>
            <w:proofErr w:type="gramStart"/>
            <w:r w:rsidRPr="00E370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或致使</w:t>
            </w:r>
            <w:proofErr w:type="gramEnd"/>
            <w:r w:rsidRPr="00E370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機構投資人負擔不合理的費用或成本。</w:t>
            </w:r>
            <w:r w:rsidRPr="00E370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E370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利益衝突管理方式包含落實教育宣導、權責分工、資訊控管、監督機制、合理薪酬制度等，為落實利益衝突管理，機構投資人宜定期對政策之實施情形進行檢討改善。</w:t>
            </w:r>
          </w:p>
        </w:tc>
      </w:tr>
      <w:tr w:rsidR="004A1324" w:rsidRPr="001C5D5A" w:rsidTr="00E370ED">
        <w:trPr>
          <w:trHeight w:val="129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4" w:rsidRPr="001C5D5A" w:rsidRDefault="004A1324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若簽署人無法參與</w:t>
            </w:r>
            <w:r w:rsidR="00826E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股東會或進行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投票，是否</w:t>
            </w:r>
            <w:r w:rsidR="00826E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不符合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守則</w:t>
            </w:r>
            <w:r w:rsidR="00826E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要求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？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守則鼓勵簽署人妥善行使其持有或受託管理股票之投票權，亦尊重不同投資人可能對同一議案有不同看法，甚至客戶與受益人之間亦可能有不同意見；簽署人考量客戶、受益人及被投資公司共同長期利益後進行投票決策，即符合本守則之精神。若機構投資人評估投票無法表彰或增進客戶與受益人之長期利益(例如已決議於股東會前出清持股)，</w:t>
            </w:r>
            <w:r w:rsidR="00825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亦可不進行投票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4A1324" w:rsidRPr="001C5D5A" w:rsidTr="00E370ED">
        <w:trPr>
          <w:trHeight w:val="3564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4" w:rsidRPr="001C5D5A" w:rsidRDefault="004A1324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與被投資公司對話及互動之方式與程度如何才算適當？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24" w:rsidRPr="001C5D5A" w:rsidRDefault="004A1324" w:rsidP="008A1D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機構投資人與被投資公司對話及互動之方式各異，程度上亦有差別。遵循指引4-2列舉部分對話與互動方式如下，但並未依照程度進行排序：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1. 與經營階層書面或口頭溝通；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 針對特定議題公開發表聲明；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 於股東會發表意見；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 提出股東會議案；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5. 參與股東會投票。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6E4F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無論透過何種方式與被投資公司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對話與互動，目的都在於與被投資公司在長期價值創造上達成共識，以提升機構投資人所擁有或管理之資產價值。</w:t>
            </w:r>
          </w:p>
        </w:tc>
      </w:tr>
      <w:tr w:rsidR="004A1324" w:rsidRPr="001C5D5A" w:rsidTr="00E370ED">
        <w:trPr>
          <w:trHeight w:val="129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4" w:rsidRPr="001C5D5A" w:rsidRDefault="004A1324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當客戶或受益人針對同一議題有不同意見時，機構投資人如何處理？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24" w:rsidRPr="001C5D5A" w:rsidRDefault="004A1324" w:rsidP="003021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針對同一議題，各方利害關係人往往有不同意見，本守則目的在於透過對被投資公司之關注、對話、互動，增進機構投資人及資金提供者之長期價值，為達到此一目的，機構投資人應瞭解並尊重客戶或受益人之需求與意見，惟仍須秉持己身專業，從如何提升所擁有或管理資產整體之長期價值來進行各項決策(包含投資決策或股東會議案投票決策等)。</w:t>
            </w:r>
          </w:p>
        </w:tc>
      </w:tr>
      <w:tr w:rsidR="004A1324" w:rsidRPr="001C5D5A" w:rsidTr="00E370ED">
        <w:trPr>
          <w:trHeight w:val="97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4" w:rsidRPr="001C5D5A" w:rsidRDefault="004A1324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履行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之情形相關紀錄與保存是否有規範？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本守則非屬強制性法規，簽署人得自行決定紀錄項目與留存時間，為達到長期分析與比較目的，</w:t>
            </w:r>
            <w:r w:rsidRPr="00A03AE8">
              <w:rPr>
                <w:rFonts w:ascii="標楷體" w:eastAsia="標楷體" w:hAnsi="標楷體" w:cs="新細明體" w:hint="eastAsia"/>
                <w:kern w:val="0"/>
                <w:szCs w:val="24"/>
              </w:rPr>
              <w:t>建議相關紀錄至少留存三至五年為宜。</w:t>
            </w:r>
          </w:p>
        </w:tc>
      </w:tr>
      <w:tr w:rsidR="004A1324" w:rsidRPr="001C5D5A" w:rsidTr="009833F1">
        <w:trPr>
          <w:trHeight w:val="259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4" w:rsidRPr="001C5D5A" w:rsidRDefault="004A1324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CF5D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若客戶與受益人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眾多，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且合約內無明訂提供履行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情形之內容與頻率，如何符合原則六之要求？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24" w:rsidRPr="001C5D5A" w:rsidRDefault="004A1324" w:rsidP="003021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為促進機構投資人與客戶或受益人之溝通，並落實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，機構投資人基於客戶或受益人之合約或要求，宜定期向客戶或受益人揭露履行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守則之情形。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若客戶與受益人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眾多，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或合約內並未明訂提供履行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之情形之內容與頻率者，參考指引6-3，宜每年於機構投資人之網站或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併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於營業報告書、年報等報告內揭露履行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之情形。同時，為避免形式化或過度量化之比較，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之情形揭露必須兼顧質與量。例如</w:t>
            </w:r>
            <w:r w:rsidR="003021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有關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簽署人</w:t>
            </w:r>
            <w:r w:rsidR="00826E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參與股東會或投票</w:t>
            </w:r>
            <w:r w:rsidR="003021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情形</w:t>
            </w:r>
            <w:r w:rsidR="00826E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3021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以及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與管理階層持續溝通以達成共識，合作改善公司治理品質、促進被投資公司永續發展</w:t>
            </w:r>
            <w:r w:rsidR="003021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4A1324" w:rsidRPr="001C5D5A" w:rsidTr="009833F1">
        <w:trPr>
          <w:trHeight w:val="129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4" w:rsidRPr="001C5D5A" w:rsidRDefault="004A1324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CF5D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324" w:rsidRPr="001C5D5A" w:rsidRDefault="004A1324" w:rsidP="001C5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金融控股公司是否得為簽署人？或者應由旗下各子公司分別為簽署人？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24" w:rsidRPr="001C5D5A" w:rsidRDefault="004A1324" w:rsidP="003922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金融控股公司投資主要屬控制性持股及長期投資，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對於金控業者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由金控公司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擔任簽署人，或由旗下各子公司分別簽署，本守則無特別要求；但必須強調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金控旗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下各金融業之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相關政策</w:t>
            </w:r>
            <w:r w:rsidR="00895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可能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有所差異。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金控公司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為集團</w:t>
            </w:r>
            <w:r w:rsidR="00895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母公司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，在建立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之文化與重視長期風險與績效之價值觀有領導作用，若由旗下各子公司分別簽署並</w:t>
            </w:r>
            <w:r w:rsidR="00392296"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訂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定相關政策，</w:t>
            </w:r>
            <w:proofErr w:type="gramStart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金控公司</w:t>
            </w:r>
            <w:proofErr w:type="gramEnd"/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宜對各子公司</w:t>
            </w:r>
            <w:r w:rsidR="008313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盡職治理</w:t>
            </w:r>
            <w:r w:rsidRPr="001C5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與揭露情形進行監督。</w:t>
            </w:r>
          </w:p>
        </w:tc>
      </w:tr>
      <w:tr w:rsidR="009833F1" w:rsidRPr="001C5D5A" w:rsidTr="009833F1">
        <w:trPr>
          <w:trHeight w:val="129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F1" w:rsidRDefault="009833F1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F1" w:rsidRPr="001C5D5A" w:rsidRDefault="009833F1" w:rsidP="009833F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指引5-4所謂</w:t>
            </w: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各類議案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，大致如何區分？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F1" w:rsidRPr="004101D4" w:rsidRDefault="009833F1" w:rsidP="009833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參考現行法規，</w:t>
            </w:r>
            <w:r w:rsidR="00D24E74">
              <w:rPr>
                <w:rFonts w:ascii="標楷體" w:eastAsia="標楷體" w:hAnsi="標楷體" w:cs="新細明體" w:hint="eastAsia"/>
                <w:kern w:val="0"/>
                <w:szCs w:val="24"/>
              </w:rPr>
              <w:t>股東會</w:t>
            </w: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議案類型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大致可</w:t>
            </w: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區分為以下項目：</w:t>
            </w:r>
          </w:p>
          <w:p w:rsidR="009833F1" w:rsidRPr="004101D4" w:rsidRDefault="009833F1" w:rsidP="009833F1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營業報告書與財務報告之承認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；</w:t>
            </w:r>
          </w:p>
          <w:p w:rsidR="009833F1" w:rsidRPr="004101D4" w:rsidRDefault="009833F1" w:rsidP="009833F1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員工及董監事酬勞分派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；</w:t>
            </w:r>
          </w:p>
          <w:p w:rsidR="009833F1" w:rsidRPr="004101D4" w:rsidRDefault="009833F1" w:rsidP="009833F1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 xml:space="preserve">盈餘分派或虧損撥補 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；</w:t>
            </w:r>
          </w:p>
          <w:p w:rsidR="009833F1" w:rsidRPr="004101D4" w:rsidRDefault="009833F1" w:rsidP="009833F1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選任或解任董事、監察人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；</w:t>
            </w:r>
          </w:p>
          <w:p w:rsidR="009833F1" w:rsidRPr="004101D4" w:rsidRDefault="009833F1" w:rsidP="009833F1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解除董事競業禁止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；</w:t>
            </w:r>
          </w:p>
          <w:p w:rsidR="009833F1" w:rsidRPr="004101D4" w:rsidRDefault="009833F1" w:rsidP="009833F1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重要規章訂定及修正；</w:t>
            </w:r>
          </w:p>
          <w:p w:rsidR="009833F1" w:rsidRPr="004101D4" w:rsidRDefault="009833F1" w:rsidP="009833F1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私募有價證券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；</w:t>
            </w:r>
          </w:p>
          <w:p w:rsidR="009833F1" w:rsidRPr="004101D4" w:rsidRDefault="009833F1" w:rsidP="009833F1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公司解散、合併、收購、股份轉換或分割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；</w:t>
            </w:r>
          </w:p>
          <w:p w:rsidR="009833F1" w:rsidRPr="004101D4" w:rsidRDefault="009833F1" w:rsidP="009833F1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其他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9833F1" w:rsidRDefault="009833F1" w:rsidP="009833F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24E74" w:rsidRDefault="00D24E74" w:rsidP="009833F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機構投資人得參考上述分類，揭露過去特定期間針對各類議案</w:t>
            </w: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贊成、反對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棄權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之情形，例如：「</w:t>
            </w:r>
            <w:r w:rsidR="00DB785E">
              <w:rPr>
                <w:rFonts w:ascii="標楷體" w:eastAsia="標楷體" w:hAnsi="標楷體" w:cs="新細明體" w:hint="eastAsia"/>
                <w:kern w:val="0"/>
                <w:szCs w:val="24"/>
              </w:rPr>
              <w:t>○○年度，</w:t>
            </w: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營業報告書與財務報告之承認</w:t>
            </w:r>
            <w:r w:rsidR="00DB785E">
              <w:rPr>
                <w:rFonts w:ascii="標楷體" w:eastAsia="標楷體" w:hAnsi="標楷體" w:cs="新細明體" w:hint="eastAsia"/>
                <w:kern w:val="0"/>
                <w:szCs w:val="24"/>
              </w:rPr>
              <w:t>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，總</w:t>
            </w:r>
            <w:r w:rsidR="00DB785E">
              <w:rPr>
                <w:rFonts w:ascii="標楷體" w:eastAsia="標楷體" w:hAnsi="標楷體" w:cs="新細明體" w:hint="eastAsia"/>
                <w:kern w:val="0"/>
                <w:szCs w:val="24"/>
              </w:rPr>
              <w:t>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票數○○○票，贊成○○票(○○%)，反對○○票(○○%)，棄權○○票(○○%)。」</w:t>
            </w:r>
          </w:p>
          <w:p w:rsidR="00D24E74" w:rsidRPr="004101D4" w:rsidRDefault="00D24E74" w:rsidP="009833F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9833F1" w:rsidRPr="001C5D5A" w:rsidRDefault="009833F1" w:rsidP="00DB78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除此之外，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機構投資人亦得</w:t>
            </w: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揭露對個別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被投資公司股東會</w:t>
            </w:r>
            <w:r w:rsidRPr="004101D4">
              <w:rPr>
                <w:rFonts w:ascii="標楷體" w:eastAsia="標楷體" w:hAnsi="標楷體" w:cs="新細明體"/>
                <w:kern w:val="0"/>
                <w:szCs w:val="24"/>
              </w:rPr>
              <w:t>議案之贊成、反對與棄權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之情形</w:t>
            </w:r>
            <w:r w:rsidRPr="004101D4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得不揭露個別票數以避免洩漏投資組合。</w:t>
            </w:r>
            <w:r w:rsidR="00DB785E">
              <w:rPr>
                <w:rFonts w:ascii="標楷體" w:eastAsia="標楷體" w:hAnsi="標楷體" w:cs="新細明體" w:hint="eastAsia"/>
                <w:kern w:val="0"/>
                <w:szCs w:val="24"/>
              </w:rPr>
              <w:t>例如：「○○公司○○年度股東常會，議案</w:t>
            </w:r>
            <w:proofErr w:type="gramStart"/>
            <w:r w:rsidR="00DB785E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="00DB785E">
              <w:rPr>
                <w:rFonts w:ascii="標楷體" w:eastAsia="標楷體" w:hAnsi="標楷體" w:cs="新細明體" w:hint="eastAsia"/>
                <w:kern w:val="0"/>
                <w:szCs w:val="24"/>
              </w:rPr>
              <w:t>___，贊成。」若適用分割投票，得分別揭露贊成與反對之比率。</w:t>
            </w:r>
          </w:p>
        </w:tc>
      </w:tr>
      <w:tr w:rsidR="009F6969" w:rsidRPr="001C5D5A" w:rsidTr="009833F1">
        <w:trPr>
          <w:trHeight w:val="129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9" w:rsidRDefault="0094365A" w:rsidP="001C5D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69" w:rsidRDefault="00252004" w:rsidP="00C365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6969">
              <w:rPr>
                <w:rFonts w:ascii="標楷體" w:eastAsia="標楷體" w:hAnsi="標楷體" w:cs="新細明體" w:hint="eastAsia"/>
                <w:kern w:val="0"/>
                <w:szCs w:val="24"/>
              </w:rPr>
              <w:t>指引 3-2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所列舉</w:t>
            </w:r>
            <w:r w:rsidRPr="009F6969">
              <w:rPr>
                <w:rFonts w:ascii="標楷體" w:eastAsia="標楷體" w:hAnsi="標楷體" w:cs="新細明體" w:hint="eastAsia"/>
                <w:kern w:val="0"/>
                <w:szCs w:val="24"/>
              </w:rPr>
              <w:t>機構投資人針對被投資公司之關注項目</w:t>
            </w:r>
            <w:r w:rsidR="00C36515">
              <w:rPr>
                <w:rFonts w:ascii="標楷體" w:eastAsia="標楷體" w:hAnsi="標楷體" w:cs="新細明體" w:hint="eastAsia"/>
                <w:kern w:val="0"/>
                <w:szCs w:val="24"/>
              </w:rPr>
              <w:t>與</w:t>
            </w:r>
            <w:r w:rsidRPr="009F6969">
              <w:rPr>
                <w:rFonts w:ascii="標楷體" w:eastAsia="標楷體" w:hAnsi="標楷體" w:cs="新細明體" w:hint="eastAsia"/>
                <w:kern w:val="0"/>
                <w:szCs w:val="24"/>
              </w:rPr>
              <w:t>資訊類型，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是否應全部皆關注？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5" w:rsidRPr="00252004" w:rsidRDefault="00C36515" w:rsidP="00C365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2004">
              <w:rPr>
                <w:rFonts w:ascii="標楷體" w:eastAsia="標楷體" w:hAnsi="標楷體" w:cs="新細明體" w:hint="eastAsia"/>
                <w:kern w:val="0"/>
                <w:szCs w:val="24"/>
              </w:rPr>
              <w:t>指引3-2指出，機構投資人宜「考量投資之目的、成本與效益，決定所關注資訊之類型、程度與頻率」；因此，對不同的投資對象或投資策略，關注之資訊可能亦有不同，守則並不要求機構投資人關注所有指引3-2所列之資訊。</w:t>
            </w:r>
          </w:p>
          <w:p w:rsidR="00252004" w:rsidRDefault="00C36515" w:rsidP="009833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2004">
              <w:rPr>
                <w:rFonts w:ascii="標楷體" w:eastAsia="標楷體" w:hAnsi="標楷體" w:cs="新細明體" w:hint="eastAsia"/>
                <w:kern w:val="0"/>
                <w:szCs w:val="24"/>
              </w:rPr>
              <w:t>若部分被投資公司未揭露特定重大資訊，也可以使機構投資人評估被投資公司風險的辨認能力與資訊透明度，機構投資人亦得進一步要求公司揭露，達到強化資訊透明之效。</w:t>
            </w:r>
          </w:p>
          <w:p w:rsidR="00252004" w:rsidRPr="00252004" w:rsidRDefault="00252004" w:rsidP="00C365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8C3DE8" w:rsidRPr="001C5D5A" w:rsidRDefault="008C3DE8"/>
    <w:sectPr w:rsidR="008C3DE8" w:rsidRPr="001C5D5A" w:rsidSect="00FE11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41" w:rsidRDefault="00B47341" w:rsidP="003021CE">
      <w:r>
        <w:separator/>
      </w:r>
    </w:p>
  </w:endnote>
  <w:endnote w:type="continuationSeparator" w:id="0">
    <w:p w:rsidR="00B47341" w:rsidRDefault="00B47341" w:rsidP="00302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41" w:rsidRDefault="00B47341" w:rsidP="003021CE">
      <w:r>
        <w:separator/>
      </w:r>
    </w:p>
  </w:footnote>
  <w:footnote w:type="continuationSeparator" w:id="0">
    <w:p w:rsidR="00B47341" w:rsidRDefault="00B47341" w:rsidP="00302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38D8"/>
    <w:multiLevelType w:val="hybridMultilevel"/>
    <w:tmpl w:val="DF28B0BC"/>
    <w:lvl w:ilvl="0" w:tplc="021E92B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D150A6"/>
    <w:multiLevelType w:val="hybridMultilevel"/>
    <w:tmpl w:val="702CC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BA0425"/>
    <w:multiLevelType w:val="hybridMultilevel"/>
    <w:tmpl w:val="66369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5A"/>
    <w:rsid w:val="00020CE0"/>
    <w:rsid w:val="00031AA0"/>
    <w:rsid w:val="00057326"/>
    <w:rsid w:val="000C2FFF"/>
    <w:rsid w:val="000C485E"/>
    <w:rsid w:val="000D49F0"/>
    <w:rsid w:val="001050F0"/>
    <w:rsid w:val="00135F54"/>
    <w:rsid w:val="00150364"/>
    <w:rsid w:val="001C5D5A"/>
    <w:rsid w:val="001E6B44"/>
    <w:rsid w:val="00213C72"/>
    <w:rsid w:val="00225E1F"/>
    <w:rsid w:val="00231963"/>
    <w:rsid w:val="00252004"/>
    <w:rsid w:val="002B0769"/>
    <w:rsid w:val="002D4FB5"/>
    <w:rsid w:val="003021CE"/>
    <w:rsid w:val="00316B17"/>
    <w:rsid w:val="003263CE"/>
    <w:rsid w:val="00326760"/>
    <w:rsid w:val="0036317A"/>
    <w:rsid w:val="00372926"/>
    <w:rsid w:val="00392296"/>
    <w:rsid w:val="003B5584"/>
    <w:rsid w:val="003D016B"/>
    <w:rsid w:val="003F2A7D"/>
    <w:rsid w:val="00477A94"/>
    <w:rsid w:val="004A0E42"/>
    <w:rsid w:val="004A1324"/>
    <w:rsid w:val="0051583E"/>
    <w:rsid w:val="00525D73"/>
    <w:rsid w:val="00596B06"/>
    <w:rsid w:val="005B18E2"/>
    <w:rsid w:val="00617D3B"/>
    <w:rsid w:val="00670F5C"/>
    <w:rsid w:val="006E4FA8"/>
    <w:rsid w:val="00761FBB"/>
    <w:rsid w:val="0079052A"/>
    <w:rsid w:val="008256B7"/>
    <w:rsid w:val="00826E5C"/>
    <w:rsid w:val="0083135A"/>
    <w:rsid w:val="00841C94"/>
    <w:rsid w:val="0087021A"/>
    <w:rsid w:val="00895BA9"/>
    <w:rsid w:val="008A1D8A"/>
    <w:rsid w:val="008A5EDB"/>
    <w:rsid w:val="008B3B14"/>
    <w:rsid w:val="008C3DE8"/>
    <w:rsid w:val="009128A9"/>
    <w:rsid w:val="00922154"/>
    <w:rsid w:val="009249EC"/>
    <w:rsid w:val="0094365A"/>
    <w:rsid w:val="0097724C"/>
    <w:rsid w:val="009833F1"/>
    <w:rsid w:val="009B1B6B"/>
    <w:rsid w:val="009D237B"/>
    <w:rsid w:val="009D4A90"/>
    <w:rsid w:val="009F6969"/>
    <w:rsid w:val="00A03AE8"/>
    <w:rsid w:val="00A573AD"/>
    <w:rsid w:val="00A66B1D"/>
    <w:rsid w:val="00B47341"/>
    <w:rsid w:val="00B47A88"/>
    <w:rsid w:val="00B73962"/>
    <w:rsid w:val="00BA0469"/>
    <w:rsid w:val="00C23D6C"/>
    <w:rsid w:val="00C36515"/>
    <w:rsid w:val="00C54662"/>
    <w:rsid w:val="00C91288"/>
    <w:rsid w:val="00CF5D8A"/>
    <w:rsid w:val="00D108C8"/>
    <w:rsid w:val="00D24E74"/>
    <w:rsid w:val="00D46EAD"/>
    <w:rsid w:val="00DB1FF3"/>
    <w:rsid w:val="00DB785E"/>
    <w:rsid w:val="00DE66C7"/>
    <w:rsid w:val="00DF7003"/>
    <w:rsid w:val="00E370ED"/>
    <w:rsid w:val="00E37D59"/>
    <w:rsid w:val="00E67D24"/>
    <w:rsid w:val="00EC15E6"/>
    <w:rsid w:val="00F86D9B"/>
    <w:rsid w:val="00FE1168"/>
    <w:rsid w:val="00FE2803"/>
    <w:rsid w:val="00FF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01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370ED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302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021C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02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021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耿民</dc:creator>
  <cp:lastModifiedBy>耿民</cp:lastModifiedBy>
  <cp:revision>3</cp:revision>
  <dcterms:created xsi:type="dcterms:W3CDTF">2016-06-24T03:13:00Z</dcterms:created>
  <dcterms:modified xsi:type="dcterms:W3CDTF">2016-06-24T03:13:00Z</dcterms:modified>
</cp:coreProperties>
</file>