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FD" w:rsidRPr="00F51C6C" w:rsidRDefault="000D5723" w:rsidP="00B21958">
      <w:pPr>
        <w:spacing w:line="400" w:lineRule="exact"/>
        <w:jc w:val="center"/>
        <w:rPr>
          <w:rFonts w:ascii="標楷體" w:eastAsia="標楷體" w:hAnsi="標楷體"/>
          <w:b/>
          <w:sz w:val="28"/>
          <w:szCs w:val="28"/>
        </w:rPr>
      </w:pPr>
      <w:r w:rsidRPr="00F51C6C">
        <w:rPr>
          <w:rFonts w:ascii="標楷體" w:eastAsia="標楷體" w:hAnsi="標楷體" w:hint="eastAsia"/>
          <w:b/>
          <w:sz w:val="28"/>
          <w:szCs w:val="28"/>
        </w:rPr>
        <w:t>指數股票型基金受益憑證買賣</w:t>
      </w:r>
      <w:r w:rsidR="004D4004" w:rsidRPr="00F51C6C">
        <w:rPr>
          <w:rFonts w:ascii="標楷體" w:eastAsia="標楷體" w:hAnsi="標楷體" w:hint="eastAsia"/>
          <w:b/>
          <w:sz w:val="28"/>
          <w:szCs w:val="28"/>
        </w:rPr>
        <w:t>及申購買回</w:t>
      </w:r>
      <w:r w:rsidRPr="00F51C6C">
        <w:rPr>
          <w:rFonts w:ascii="標楷體" w:eastAsia="標楷體" w:hAnsi="標楷體" w:hint="eastAsia"/>
          <w:b/>
          <w:sz w:val="28"/>
          <w:szCs w:val="28"/>
        </w:rPr>
        <w:t>風險預告書</w:t>
      </w:r>
    </w:p>
    <w:p w:rsidR="0082017F" w:rsidRPr="00F51C6C" w:rsidRDefault="00A105DC" w:rsidP="00B21958">
      <w:pPr>
        <w:spacing w:line="400" w:lineRule="exact"/>
        <w:jc w:val="center"/>
        <w:rPr>
          <w:rFonts w:ascii="標楷體" w:eastAsia="標楷體" w:hAnsi="標楷體"/>
          <w:b/>
          <w:sz w:val="28"/>
          <w:szCs w:val="28"/>
        </w:rPr>
      </w:pPr>
      <w:r w:rsidRPr="00F51C6C">
        <w:rPr>
          <w:rFonts w:ascii="標楷體" w:eastAsia="標楷體" w:hAnsi="標楷體" w:hint="eastAsia"/>
          <w:b/>
          <w:sz w:val="28"/>
          <w:szCs w:val="28"/>
        </w:rPr>
        <w:t>修正</w:t>
      </w:r>
      <w:r w:rsidR="0082017F" w:rsidRPr="00F51C6C">
        <w:rPr>
          <w:rFonts w:ascii="標楷體" w:eastAsia="標楷體" w:hAnsi="標楷體" w:hint="eastAsia"/>
          <w:b/>
          <w:sz w:val="28"/>
          <w:szCs w:val="28"/>
        </w:rPr>
        <w:t>條文</w:t>
      </w:r>
      <w:r w:rsidRPr="00F51C6C">
        <w:rPr>
          <w:rFonts w:ascii="標楷體" w:eastAsia="標楷體" w:hAnsi="標楷體" w:hint="eastAsia"/>
          <w:b/>
          <w:sz w:val="28"/>
          <w:szCs w:val="28"/>
        </w:rPr>
        <w:t>對照表</w:t>
      </w:r>
    </w:p>
    <w:tbl>
      <w:tblPr>
        <w:tblStyle w:val="a3"/>
        <w:tblW w:w="8613" w:type="dxa"/>
        <w:tblLook w:val="04A0"/>
      </w:tblPr>
      <w:tblGrid>
        <w:gridCol w:w="3044"/>
        <w:gridCol w:w="3045"/>
        <w:gridCol w:w="2524"/>
      </w:tblGrid>
      <w:tr w:rsidR="00F51C6C" w:rsidRPr="00F51C6C" w:rsidTr="00F51C6C">
        <w:tc>
          <w:tcPr>
            <w:tcW w:w="3044" w:type="dxa"/>
            <w:shd w:val="clear" w:color="auto" w:fill="FFFFFF" w:themeFill="background1"/>
            <w:vAlign w:val="center"/>
          </w:tcPr>
          <w:p w:rsidR="00F51C6C" w:rsidRPr="00F51C6C" w:rsidRDefault="00F51C6C" w:rsidP="00ED2D9A">
            <w:pPr>
              <w:spacing w:line="240" w:lineRule="auto"/>
              <w:jc w:val="center"/>
              <w:rPr>
                <w:rFonts w:ascii="標楷體" w:eastAsia="標楷體" w:hAnsi="標楷體"/>
              </w:rPr>
            </w:pPr>
            <w:r w:rsidRPr="00F51C6C">
              <w:rPr>
                <w:rFonts w:ascii="標楷體" w:eastAsia="標楷體" w:hAnsi="標楷體"/>
              </w:rPr>
              <w:t>修正後風險預告書名稱</w:t>
            </w:r>
          </w:p>
        </w:tc>
        <w:tc>
          <w:tcPr>
            <w:tcW w:w="3045" w:type="dxa"/>
            <w:shd w:val="clear" w:color="auto" w:fill="FFFFFF" w:themeFill="background1"/>
            <w:vAlign w:val="center"/>
          </w:tcPr>
          <w:p w:rsidR="00F51C6C" w:rsidRPr="00F51C6C" w:rsidRDefault="00F51C6C" w:rsidP="00ED2D9A">
            <w:pPr>
              <w:spacing w:line="240" w:lineRule="auto"/>
              <w:jc w:val="center"/>
              <w:rPr>
                <w:rFonts w:ascii="標楷體" w:eastAsia="標楷體" w:hAnsi="標楷體"/>
              </w:rPr>
            </w:pPr>
            <w:r w:rsidRPr="00F51C6C">
              <w:rPr>
                <w:rFonts w:ascii="標楷體" w:eastAsia="標楷體" w:hAnsi="標楷體"/>
              </w:rPr>
              <w:t>現行風險預告書名稱</w:t>
            </w:r>
          </w:p>
        </w:tc>
        <w:tc>
          <w:tcPr>
            <w:tcW w:w="2524" w:type="dxa"/>
            <w:shd w:val="clear" w:color="auto" w:fill="FFFFFF" w:themeFill="background1"/>
            <w:vAlign w:val="center"/>
          </w:tcPr>
          <w:p w:rsidR="00F51C6C" w:rsidRPr="00F51C6C" w:rsidRDefault="00F51C6C" w:rsidP="004D5794">
            <w:pPr>
              <w:spacing w:line="240" w:lineRule="auto"/>
              <w:jc w:val="center"/>
              <w:rPr>
                <w:rFonts w:ascii="標楷體" w:eastAsia="標楷體" w:hAnsi="標楷體"/>
                <w:szCs w:val="24"/>
              </w:rPr>
            </w:pPr>
            <w:r w:rsidRPr="00F51C6C">
              <w:rPr>
                <w:rFonts w:ascii="標楷體" w:eastAsia="標楷體" w:hAnsi="標楷體"/>
                <w:szCs w:val="24"/>
              </w:rPr>
              <w:t>說明</w:t>
            </w:r>
          </w:p>
        </w:tc>
      </w:tr>
      <w:tr w:rsidR="00F51C6C" w:rsidRPr="00F51C6C" w:rsidTr="00F51C6C">
        <w:tc>
          <w:tcPr>
            <w:tcW w:w="3044" w:type="dxa"/>
            <w:shd w:val="clear" w:color="auto" w:fill="FFFFFF" w:themeFill="background1"/>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szCs w:val="24"/>
              </w:rPr>
              <w:t>指數股票型基金受益憑證買賣及申購買回風險預告書</w:t>
            </w:r>
          </w:p>
        </w:tc>
        <w:tc>
          <w:tcPr>
            <w:tcW w:w="3045" w:type="dxa"/>
            <w:shd w:val="clear" w:color="auto" w:fill="FFFFFF" w:themeFill="background1"/>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szCs w:val="24"/>
              </w:rPr>
              <w:t>指數股票型基金受益憑證買賣及申購買回風險預告書</w:t>
            </w:r>
          </w:p>
        </w:tc>
        <w:tc>
          <w:tcPr>
            <w:tcW w:w="2524" w:type="dxa"/>
            <w:shd w:val="clear" w:color="auto" w:fill="FFFFFF" w:themeFill="background1"/>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vAlign w:val="center"/>
          </w:tcPr>
          <w:p w:rsidR="00F51C6C" w:rsidRPr="00F51C6C" w:rsidRDefault="00F51C6C" w:rsidP="008E2A04">
            <w:pPr>
              <w:spacing w:line="240" w:lineRule="auto"/>
              <w:jc w:val="center"/>
              <w:rPr>
                <w:rFonts w:ascii="標楷體" w:eastAsia="標楷體" w:hAnsi="標楷體"/>
              </w:rPr>
            </w:pPr>
            <w:r w:rsidRPr="00F51C6C">
              <w:rPr>
                <w:rFonts w:ascii="標楷體" w:eastAsia="標楷體" w:hAnsi="標楷體"/>
              </w:rPr>
              <w:t>修正條文</w:t>
            </w:r>
          </w:p>
        </w:tc>
        <w:tc>
          <w:tcPr>
            <w:tcW w:w="3045" w:type="dxa"/>
            <w:vAlign w:val="center"/>
          </w:tcPr>
          <w:p w:rsidR="00F51C6C" w:rsidRPr="00F51C6C" w:rsidRDefault="00F51C6C" w:rsidP="008E2A04">
            <w:pPr>
              <w:spacing w:line="240" w:lineRule="auto"/>
              <w:jc w:val="center"/>
              <w:rPr>
                <w:rFonts w:ascii="標楷體" w:eastAsia="標楷體" w:hAnsi="標楷體"/>
              </w:rPr>
            </w:pPr>
            <w:r w:rsidRPr="00F51C6C">
              <w:rPr>
                <w:rFonts w:ascii="標楷體" w:eastAsia="標楷體" w:hAnsi="標楷體"/>
              </w:rPr>
              <w:t>現行條文</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本風險預告書係依據臺灣證券交易所「受益憑證買賣辦法」第三條第四項及「受益憑證辦理申購買回作業要點」第五點第二項之規定訂之。</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本風險預告書係依據臺灣證券交易所「受益憑證買賣辦法」第三條第四項及「受益憑證辦理申購買回作業要點」第五點第二項之規定訂之。</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rPr>
              <w:t>買賣槓桿反向指數股票型證券投資信託基金受益憑證</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rPr>
              <w:t>買賣槓桿反向指數股票型證券投資信託基金受益憑證</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rPr>
              <w:t>槓桿反向指數股票型證券投資信託基金（</w:t>
            </w:r>
            <w:r w:rsidRPr="00F51C6C">
              <w:rPr>
                <w:rFonts w:ascii="標楷體" w:eastAsia="標楷體" w:hAnsi="標楷體" w:hint="eastAsia"/>
              </w:rPr>
              <w:t>下</w:t>
            </w:r>
            <w:r w:rsidRPr="00F51C6C">
              <w:rPr>
                <w:rFonts w:ascii="標楷體" w:eastAsia="標楷體" w:hAnsi="標楷體"/>
              </w:rPr>
              <w:t>稱</w:t>
            </w:r>
            <w:r w:rsidRPr="00F51C6C">
              <w:rPr>
                <w:rFonts w:ascii="標楷體" w:eastAsia="標楷體" w:hAnsi="標楷體" w:hint="eastAsia"/>
              </w:rPr>
              <w:t>槓桿反向</w:t>
            </w:r>
            <w:r w:rsidRPr="00F51C6C">
              <w:rPr>
                <w:rFonts w:ascii="標楷體" w:eastAsia="標楷體" w:hAnsi="標楷體" w:hint="eastAsia"/>
                <w:u w:val="single"/>
              </w:rPr>
              <w:t>型</w:t>
            </w:r>
            <w:r w:rsidRPr="00F51C6C">
              <w:rPr>
                <w:rFonts w:ascii="標楷體" w:eastAsia="標楷體" w:hAnsi="標楷體"/>
              </w:rPr>
              <w:t>ETF），係以</w:t>
            </w:r>
            <w:r w:rsidRPr="00F51C6C">
              <w:rPr>
                <w:rFonts w:ascii="標楷體" w:eastAsia="標楷體" w:hAnsi="標楷體" w:hint="eastAsia"/>
              </w:rPr>
              <w:t>追蹤、模擬或複製標的指數之正向倍數（簡稱槓桿型ETF）或反向倍數（簡稱反向型ETF）表現，</w:t>
            </w:r>
            <w:r w:rsidRPr="00F51C6C">
              <w:rPr>
                <w:rFonts w:ascii="標楷體" w:eastAsia="標楷體" w:hAnsi="標楷體" w:hint="eastAsia"/>
                <w:u w:val="single"/>
              </w:rPr>
              <w:t>委託</w:t>
            </w:r>
            <w:r w:rsidRPr="00F51C6C">
              <w:rPr>
                <w:rFonts w:ascii="標楷體" w:eastAsia="標楷體" w:hAnsi="標楷體" w:hint="eastAsia"/>
              </w:rPr>
              <w:t>人買賣槓桿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受益憑證有</w:t>
            </w:r>
            <w:r w:rsidRPr="00F51C6C">
              <w:rPr>
                <w:rFonts w:ascii="標楷體" w:eastAsia="標楷體" w:hAnsi="標楷體"/>
              </w:rPr>
              <w:t>可能</w:t>
            </w:r>
            <w:r w:rsidRPr="00F51C6C">
              <w:rPr>
                <w:rFonts w:ascii="標楷體" w:eastAsia="標楷體" w:hAnsi="標楷體" w:hint="eastAsia"/>
              </w:rPr>
              <w:t>會在短時間內</w:t>
            </w:r>
            <w:r w:rsidRPr="00F51C6C">
              <w:rPr>
                <w:rFonts w:ascii="標楷體" w:eastAsia="標楷體" w:hAnsi="標楷體"/>
              </w:rPr>
              <w:t>產生極大利潤</w:t>
            </w:r>
            <w:r w:rsidRPr="00F51C6C">
              <w:rPr>
                <w:rFonts w:ascii="標楷體" w:eastAsia="標楷體" w:hAnsi="標楷體" w:hint="eastAsia"/>
              </w:rPr>
              <w:t>或</w:t>
            </w:r>
            <w:r w:rsidRPr="00F51C6C">
              <w:rPr>
                <w:rFonts w:ascii="標楷體" w:eastAsia="標楷體" w:hAnsi="標楷體"/>
              </w:rPr>
              <w:t>極大的損失</w:t>
            </w:r>
            <w:r w:rsidRPr="00F51C6C">
              <w:rPr>
                <w:rFonts w:ascii="標楷體" w:eastAsia="標楷體" w:hAnsi="標楷體" w:hint="eastAsia"/>
              </w:rPr>
              <w:t>，</w:t>
            </w:r>
            <w:r w:rsidRPr="00F51C6C">
              <w:rPr>
                <w:rFonts w:ascii="標楷體" w:eastAsia="標楷體" w:hAnsi="標楷體"/>
              </w:rPr>
              <w:t>於開戶前應審慎考慮</w:t>
            </w:r>
            <w:r w:rsidRPr="00F51C6C">
              <w:rPr>
                <w:rFonts w:ascii="標楷體" w:eastAsia="標楷體" w:hAnsi="標楷體" w:hint="eastAsia"/>
              </w:rPr>
              <w:t>自</w:t>
            </w:r>
            <w:r w:rsidRPr="00F51C6C">
              <w:rPr>
                <w:rFonts w:ascii="標楷體" w:eastAsia="標楷體" w:hAnsi="標楷體"/>
              </w:rPr>
              <w:t>身</w:t>
            </w:r>
            <w:r w:rsidRPr="00F51C6C">
              <w:rPr>
                <w:rFonts w:ascii="標楷體" w:eastAsia="標楷體" w:hAnsi="標楷體" w:hint="eastAsia"/>
              </w:rPr>
              <w:t>之</w:t>
            </w:r>
            <w:r w:rsidRPr="00F51C6C">
              <w:rPr>
                <w:rFonts w:ascii="標楷體" w:eastAsia="標楷體" w:hAnsi="標楷體"/>
              </w:rPr>
              <w:t>財務能力及經濟狀況是否適合</w:t>
            </w:r>
            <w:r w:rsidRPr="00F51C6C">
              <w:rPr>
                <w:rFonts w:ascii="標楷體" w:eastAsia="標楷體" w:hAnsi="標楷體" w:hint="eastAsia"/>
              </w:rPr>
              <w:t>買賣此</w:t>
            </w:r>
            <w:r w:rsidRPr="00F51C6C">
              <w:rPr>
                <w:rFonts w:ascii="標楷體" w:eastAsia="標楷體" w:hAnsi="標楷體"/>
              </w:rPr>
              <w:t>種</w:t>
            </w:r>
            <w:r w:rsidRPr="00F51C6C">
              <w:rPr>
                <w:rFonts w:ascii="標楷體" w:eastAsia="標楷體" w:hAnsi="標楷體" w:hint="eastAsia"/>
              </w:rPr>
              <w:t>商品</w:t>
            </w:r>
            <w:r w:rsidRPr="00F51C6C">
              <w:rPr>
                <w:rFonts w:ascii="標楷體" w:eastAsia="標楷體" w:hAnsi="標楷體"/>
              </w:rPr>
              <w:t>。在</w:t>
            </w:r>
            <w:r w:rsidRPr="00F51C6C">
              <w:rPr>
                <w:rFonts w:ascii="標楷體" w:eastAsia="標楷體" w:hAnsi="標楷體" w:hint="eastAsia"/>
              </w:rPr>
              <w:t>決定從事</w:t>
            </w:r>
            <w:r w:rsidRPr="00F51C6C">
              <w:rPr>
                <w:rFonts w:ascii="標楷體" w:eastAsia="標楷體" w:hAnsi="標楷體"/>
              </w:rPr>
              <w:t>交易前，委託人應瞭解投資可能產生之潛在風險，並應知悉下列各項事宜，以保護權益：</w:t>
            </w:r>
          </w:p>
        </w:tc>
        <w:tc>
          <w:tcPr>
            <w:tcW w:w="3045"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rPr>
              <w:t>槓桿反向指數股票型證券投資信託基金（</w:t>
            </w:r>
            <w:r w:rsidRPr="00F51C6C">
              <w:rPr>
                <w:rFonts w:ascii="標楷體" w:eastAsia="標楷體" w:hAnsi="標楷體" w:hint="eastAsia"/>
              </w:rPr>
              <w:t>下</w:t>
            </w:r>
            <w:r w:rsidRPr="00F51C6C">
              <w:rPr>
                <w:rFonts w:ascii="標楷體" w:eastAsia="標楷體" w:hAnsi="標楷體"/>
              </w:rPr>
              <w:t>稱</w:t>
            </w:r>
            <w:r w:rsidRPr="00F51C6C">
              <w:rPr>
                <w:rFonts w:ascii="標楷體" w:eastAsia="標楷體" w:hAnsi="標楷體" w:hint="eastAsia"/>
              </w:rPr>
              <w:t>槓桿反向</w:t>
            </w:r>
            <w:r w:rsidRPr="00F51C6C">
              <w:rPr>
                <w:rFonts w:ascii="標楷體" w:eastAsia="標楷體" w:hAnsi="標楷體"/>
              </w:rPr>
              <w:t>ETF），係以</w:t>
            </w:r>
            <w:r w:rsidRPr="00F51C6C">
              <w:rPr>
                <w:rFonts w:ascii="標楷體" w:eastAsia="標楷體" w:hAnsi="標楷體" w:hint="eastAsia"/>
              </w:rPr>
              <w:t>追蹤、模擬或複製標的指數之正向倍數（簡稱槓桿型ETF）或反向倍數（簡稱反向型ETF）表現，投資人買賣槓桿反向</w:t>
            </w:r>
            <w:r w:rsidRPr="00F51C6C">
              <w:rPr>
                <w:rFonts w:ascii="標楷體" w:eastAsia="標楷體" w:hAnsi="標楷體"/>
              </w:rPr>
              <w:t>ETF</w:t>
            </w:r>
            <w:r w:rsidRPr="00F51C6C">
              <w:rPr>
                <w:rFonts w:ascii="標楷體" w:eastAsia="標楷體" w:hAnsi="標楷體" w:hint="eastAsia"/>
              </w:rPr>
              <w:t>受益憑證有</w:t>
            </w:r>
            <w:r w:rsidRPr="00F51C6C">
              <w:rPr>
                <w:rFonts w:ascii="標楷體" w:eastAsia="標楷體" w:hAnsi="標楷體"/>
              </w:rPr>
              <w:t>可能</w:t>
            </w:r>
            <w:r w:rsidRPr="00F51C6C">
              <w:rPr>
                <w:rFonts w:ascii="標楷體" w:eastAsia="標楷體" w:hAnsi="標楷體" w:hint="eastAsia"/>
              </w:rPr>
              <w:t>會在短時間內</w:t>
            </w:r>
            <w:r w:rsidRPr="00F51C6C">
              <w:rPr>
                <w:rFonts w:ascii="標楷體" w:eastAsia="標楷體" w:hAnsi="標楷體"/>
              </w:rPr>
              <w:t>產生極大利潤</w:t>
            </w:r>
            <w:r w:rsidRPr="00F51C6C">
              <w:rPr>
                <w:rFonts w:ascii="標楷體" w:eastAsia="標楷體" w:hAnsi="標楷體" w:hint="eastAsia"/>
              </w:rPr>
              <w:t>或</w:t>
            </w:r>
            <w:r w:rsidRPr="00F51C6C">
              <w:rPr>
                <w:rFonts w:ascii="標楷體" w:eastAsia="標楷體" w:hAnsi="標楷體"/>
              </w:rPr>
              <w:t>極大的損失</w:t>
            </w:r>
            <w:r w:rsidRPr="00F51C6C">
              <w:rPr>
                <w:rFonts w:ascii="標楷體" w:eastAsia="標楷體" w:hAnsi="標楷體" w:hint="eastAsia"/>
              </w:rPr>
              <w:t>，</w:t>
            </w:r>
            <w:r w:rsidRPr="00F51C6C">
              <w:rPr>
                <w:rFonts w:ascii="標楷體" w:eastAsia="標楷體" w:hAnsi="標楷體"/>
              </w:rPr>
              <w:t>於開戶前應審慎考慮</w:t>
            </w:r>
            <w:r w:rsidRPr="00F51C6C">
              <w:rPr>
                <w:rFonts w:ascii="標楷體" w:eastAsia="標楷體" w:hAnsi="標楷體" w:hint="eastAsia"/>
              </w:rPr>
              <w:t>自</w:t>
            </w:r>
            <w:r w:rsidRPr="00F51C6C">
              <w:rPr>
                <w:rFonts w:ascii="標楷體" w:eastAsia="標楷體" w:hAnsi="標楷體"/>
              </w:rPr>
              <w:t>身</w:t>
            </w:r>
            <w:r w:rsidRPr="00F51C6C">
              <w:rPr>
                <w:rFonts w:ascii="標楷體" w:eastAsia="標楷體" w:hAnsi="標楷體" w:hint="eastAsia"/>
              </w:rPr>
              <w:t>之</w:t>
            </w:r>
            <w:r w:rsidRPr="00F51C6C">
              <w:rPr>
                <w:rFonts w:ascii="標楷體" w:eastAsia="標楷體" w:hAnsi="標楷體"/>
              </w:rPr>
              <w:t>財務能力及經濟狀況是否適合</w:t>
            </w:r>
            <w:r w:rsidRPr="00F51C6C">
              <w:rPr>
                <w:rFonts w:ascii="標楷體" w:eastAsia="標楷體" w:hAnsi="標楷體" w:hint="eastAsia"/>
              </w:rPr>
              <w:t>買賣此</w:t>
            </w:r>
            <w:r w:rsidRPr="00F51C6C">
              <w:rPr>
                <w:rFonts w:ascii="標楷體" w:eastAsia="標楷體" w:hAnsi="標楷體"/>
              </w:rPr>
              <w:t>種</w:t>
            </w:r>
            <w:r w:rsidRPr="00F51C6C">
              <w:rPr>
                <w:rFonts w:ascii="標楷體" w:eastAsia="標楷體" w:hAnsi="標楷體" w:hint="eastAsia"/>
              </w:rPr>
              <w:t>商品</w:t>
            </w:r>
            <w:r w:rsidRPr="00F51C6C">
              <w:rPr>
                <w:rFonts w:ascii="標楷體" w:eastAsia="標楷體" w:hAnsi="標楷體"/>
              </w:rPr>
              <w:t>。在</w:t>
            </w:r>
            <w:r w:rsidRPr="00F51C6C">
              <w:rPr>
                <w:rFonts w:ascii="標楷體" w:eastAsia="標楷體" w:hAnsi="標楷體" w:hint="eastAsia"/>
              </w:rPr>
              <w:t>決定從事</w:t>
            </w:r>
            <w:r w:rsidRPr="00F51C6C">
              <w:rPr>
                <w:rFonts w:ascii="標楷體" w:eastAsia="標楷體" w:hAnsi="標楷體"/>
              </w:rPr>
              <w:t>交易前，委託人應瞭解投資可能產生之潛在風險，並應知悉下列各項事宜，以保護權益：</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pStyle w:val="ad"/>
              <w:numPr>
                <w:ilvl w:val="0"/>
                <w:numId w:val="14"/>
              </w:numPr>
              <w:spacing w:line="240" w:lineRule="auto"/>
              <w:ind w:leftChars="0"/>
              <w:rPr>
                <w:rFonts w:ascii="標楷體" w:eastAsia="標楷體" w:hAnsi="標楷體"/>
                <w:u w:val="single"/>
              </w:rPr>
            </w:pPr>
            <w:r w:rsidRPr="00F51C6C">
              <w:rPr>
                <w:rFonts w:ascii="標楷體" w:eastAsia="標楷體" w:hAnsi="標楷體" w:hint="eastAsia"/>
              </w:rPr>
              <w:t>買賣槓桿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hint="eastAsia"/>
              </w:rPr>
              <w:t>ETF</w:t>
            </w:r>
          </w:p>
          <w:p w:rsidR="00F51C6C" w:rsidRPr="00F51C6C" w:rsidRDefault="00F51C6C" w:rsidP="00B21958">
            <w:pPr>
              <w:pStyle w:val="ad"/>
              <w:spacing w:line="240" w:lineRule="auto"/>
              <w:ind w:leftChars="0"/>
              <w:rPr>
                <w:rFonts w:ascii="標楷體" w:eastAsia="標楷體" w:hAnsi="標楷體"/>
              </w:rPr>
            </w:pPr>
            <w:r w:rsidRPr="00F51C6C">
              <w:rPr>
                <w:rFonts w:ascii="標楷體" w:eastAsia="標楷體" w:hAnsi="標楷體" w:hint="eastAsia"/>
              </w:rPr>
              <w:t>受益憑證的</w:t>
            </w:r>
            <w:r w:rsidRPr="00F51C6C">
              <w:rPr>
                <w:rFonts w:ascii="標楷體" w:eastAsia="標楷體" w:hAnsi="標楷體"/>
              </w:rPr>
              <w:t>委託人</w:t>
            </w:r>
            <w:r w:rsidRPr="00F51C6C">
              <w:rPr>
                <w:rFonts w:ascii="標楷體" w:eastAsia="標楷體" w:hAnsi="標楷體" w:hint="eastAsia"/>
              </w:rPr>
              <w:t>，</w:t>
            </w:r>
            <w:r w:rsidRPr="00F51C6C">
              <w:rPr>
                <w:rFonts w:ascii="標楷體" w:eastAsia="標楷體" w:hAnsi="標楷體"/>
              </w:rPr>
              <w:t>應完全瞭解</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之淨值</w:t>
            </w:r>
            <w:r w:rsidRPr="00F51C6C">
              <w:rPr>
                <w:rFonts w:ascii="標楷體" w:eastAsia="標楷體" w:hAnsi="標楷體"/>
              </w:rPr>
              <w:t>與其</w:t>
            </w:r>
            <w:r w:rsidRPr="00F51C6C">
              <w:rPr>
                <w:rFonts w:ascii="標楷體" w:eastAsia="標楷體" w:hAnsi="標楷體" w:hint="eastAsia"/>
              </w:rPr>
              <w:t>標的</w:t>
            </w:r>
            <w:r w:rsidRPr="00F51C6C">
              <w:rPr>
                <w:rFonts w:ascii="標楷體" w:eastAsia="標楷體" w:hAnsi="標楷體"/>
              </w:rPr>
              <w:t>指</w:t>
            </w:r>
            <w:r w:rsidRPr="00F51C6C">
              <w:rPr>
                <w:rFonts w:ascii="標楷體" w:eastAsia="標楷體" w:hAnsi="標楷體"/>
              </w:rPr>
              <w:lastRenderedPageBreak/>
              <w:t>數間之正反向及倍數關係，且</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ETF僅</w:t>
            </w:r>
            <w:r w:rsidRPr="00F51C6C">
              <w:rPr>
                <w:rFonts w:ascii="標楷體" w:eastAsia="標楷體" w:hAnsi="標楷體" w:hint="eastAsia"/>
              </w:rPr>
              <w:t>以追蹤、模擬或複製</w:t>
            </w:r>
            <w:r w:rsidRPr="00F51C6C">
              <w:rPr>
                <w:rFonts w:ascii="標楷體" w:eastAsia="標楷體" w:hAnsi="標楷體"/>
              </w:rPr>
              <w:t>每日</w:t>
            </w:r>
            <w:r w:rsidRPr="00F51C6C">
              <w:rPr>
                <w:rFonts w:ascii="標楷體" w:eastAsia="標楷體" w:hAnsi="標楷體" w:hint="eastAsia"/>
              </w:rPr>
              <w:t>標的</w:t>
            </w:r>
            <w:r w:rsidRPr="00F51C6C">
              <w:rPr>
                <w:rFonts w:ascii="標楷體" w:eastAsia="標楷體" w:hAnsi="標楷體"/>
              </w:rPr>
              <w:t>指數報酬率正向倍數或反向倍數</w:t>
            </w:r>
            <w:r w:rsidRPr="00F51C6C">
              <w:rPr>
                <w:rFonts w:ascii="標楷體" w:eastAsia="標楷體" w:hAnsi="標楷體" w:hint="eastAsia"/>
              </w:rPr>
              <w:t>為目標</w:t>
            </w:r>
            <w:r w:rsidRPr="00F51C6C">
              <w:rPr>
                <w:rFonts w:ascii="標楷體" w:eastAsia="標楷體" w:hAnsi="標楷體"/>
              </w:rPr>
              <w:t>，而非一段期間內指數正向倍數或反向倍數</w:t>
            </w:r>
            <w:r w:rsidRPr="00F51C6C">
              <w:rPr>
                <w:rFonts w:ascii="標楷體" w:eastAsia="標楷體" w:hAnsi="標楷體" w:hint="eastAsia"/>
              </w:rPr>
              <w:t>之累積</w:t>
            </w:r>
            <w:r w:rsidRPr="00F51C6C">
              <w:rPr>
                <w:rFonts w:ascii="標楷體" w:eastAsia="標楷體" w:hAnsi="標楷體"/>
              </w:rPr>
              <w:t>報酬率。</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rPr>
              <w:lastRenderedPageBreak/>
              <w:t>一、</w:t>
            </w:r>
            <w:r w:rsidRPr="00F51C6C">
              <w:rPr>
                <w:rFonts w:ascii="標楷體" w:eastAsia="標楷體" w:hAnsi="標楷體" w:hint="eastAsia"/>
              </w:rPr>
              <w:t>買賣槓桿反向</w:t>
            </w:r>
            <w:r w:rsidRPr="00F51C6C">
              <w:rPr>
                <w:rFonts w:ascii="標楷體" w:eastAsia="標楷體" w:hAnsi="標楷體"/>
              </w:rPr>
              <w:t>ETF</w:t>
            </w:r>
            <w:r w:rsidRPr="00F51C6C">
              <w:rPr>
                <w:rFonts w:ascii="標楷體" w:eastAsia="標楷體" w:hAnsi="標楷體" w:hint="eastAsia"/>
              </w:rPr>
              <w:t>受益憑證的</w:t>
            </w:r>
            <w:r w:rsidRPr="00F51C6C">
              <w:rPr>
                <w:rFonts w:ascii="標楷體" w:eastAsia="標楷體" w:hAnsi="標楷體"/>
              </w:rPr>
              <w:t>委託人</w:t>
            </w:r>
            <w:r w:rsidRPr="00F51C6C">
              <w:rPr>
                <w:rFonts w:ascii="標楷體" w:eastAsia="標楷體" w:hAnsi="標楷體" w:hint="eastAsia"/>
              </w:rPr>
              <w:t>，</w:t>
            </w:r>
            <w:r w:rsidRPr="00F51C6C">
              <w:rPr>
                <w:rFonts w:ascii="標楷體" w:eastAsia="標楷體" w:hAnsi="標楷體"/>
              </w:rPr>
              <w:t>應完全瞭解</w:t>
            </w:r>
            <w:r w:rsidRPr="00F51C6C">
              <w:rPr>
                <w:rFonts w:ascii="標楷體" w:eastAsia="標楷體" w:hAnsi="標楷體" w:hint="eastAsia"/>
              </w:rPr>
              <w:t>槓桿反向</w:t>
            </w:r>
            <w:r w:rsidRPr="00F51C6C">
              <w:rPr>
                <w:rFonts w:ascii="標楷體" w:eastAsia="標楷體" w:hAnsi="標楷體"/>
              </w:rPr>
              <w:t>ETF</w:t>
            </w:r>
            <w:r w:rsidRPr="00F51C6C">
              <w:rPr>
                <w:rFonts w:ascii="標楷體" w:eastAsia="標楷體" w:hAnsi="標楷體" w:hint="eastAsia"/>
              </w:rPr>
              <w:t>之淨值</w:t>
            </w:r>
            <w:r w:rsidRPr="00F51C6C">
              <w:rPr>
                <w:rFonts w:ascii="標楷體" w:eastAsia="標楷體" w:hAnsi="標楷體"/>
              </w:rPr>
              <w:t>與其</w:t>
            </w:r>
            <w:r w:rsidRPr="00F51C6C">
              <w:rPr>
                <w:rFonts w:ascii="標楷體" w:eastAsia="標楷體" w:hAnsi="標楷體" w:hint="eastAsia"/>
              </w:rPr>
              <w:t>標的</w:t>
            </w:r>
            <w:r w:rsidRPr="00F51C6C">
              <w:rPr>
                <w:rFonts w:ascii="標楷體" w:eastAsia="標楷體" w:hAnsi="標楷體"/>
              </w:rPr>
              <w:t>指數間之</w:t>
            </w:r>
            <w:r w:rsidRPr="00F51C6C">
              <w:rPr>
                <w:rFonts w:ascii="標楷體" w:eastAsia="標楷體" w:hAnsi="標楷體"/>
              </w:rPr>
              <w:lastRenderedPageBreak/>
              <w:t>正反向及倍數關係，且</w:t>
            </w:r>
            <w:r w:rsidRPr="00F51C6C">
              <w:rPr>
                <w:rFonts w:ascii="標楷體" w:eastAsia="標楷體" w:hAnsi="標楷體" w:hint="eastAsia"/>
              </w:rPr>
              <w:t>槓桿反向</w:t>
            </w:r>
            <w:r w:rsidRPr="00F51C6C">
              <w:rPr>
                <w:rFonts w:ascii="標楷體" w:eastAsia="標楷體" w:hAnsi="標楷體"/>
              </w:rPr>
              <w:t>ETF僅</w:t>
            </w:r>
            <w:r w:rsidRPr="00F51C6C">
              <w:rPr>
                <w:rFonts w:ascii="標楷體" w:eastAsia="標楷體" w:hAnsi="標楷體" w:hint="eastAsia"/>
              </w:rPr>
              <w:t>以追蹤、模擬或複製</w:t>
            </w:r>
            <w:r w:rsidRPr="00F51C6C">
              <w:rPr>
                <w:rFonts w:ascii="標楷體" w:eastAsia="標楷體" w:hAnsi="標楷體"/>
              </w:rPr>
              <w:t>每日</w:t>
            </w:r>
            <w:r w:rsidRPr="00F51C6C">
              <w:rPr>
                <w:rFonts w:ascii="標楷體" w:eastAsia="標楷體" w:hAnsi="標楷體" w:hint="eastAsia"/>
              </w:rPr>
              <w:t>標的</w:t>
            </w:r>
            <w:r w:rsidRPr="00F51C6C">
              <w:rPr>
                <w:rFonts w:ascii="標楷體" w:eastAsia="標楷體" w:hAnsi="標楷體"/>
              </w:rPr>
              <w:t>指數報酬率正向倍數或反向倍數</w:t>
            </w:r>
            <w:r w:rsidRPr="00F51C6C">
              <w:rPr>
                <w:rFonts w:ascii="標楷體" w:eastAsia="標楷體" w:hAnsi="標楷體" w:hint="eastAsia"/>
              </w:rPr>
              <w:t>為目標</w:t>
            </w:r>
            <w:r w:rsidRPr="00F51C6C">
              <w:rPr>
                <w:rFonts w:ascii="標楷體" w:eastAsia="標楷體" w:hAnsi="標楷體"/>
              </w:rPr>
              <w:t>，而非一段期間內指數正向倍數或反向倍數</w:t>
            </w:r>
            <w:r w:rsidRPr="00F51C6C">
              <w:rPr>
                <w:rFonts w:ascii="標楷體" w:eastAsia="標楷體" w:hAnsi="標楷體" w:hint="eastAsia"/>
              </w:rPr>
              <w:t>之累積</w:t>
            </w:r>
            <w:r w:rsidRPr="00F51C6C">
              <w:rPr>
                <w:rFonts w:ascii="標楷體" w:eastAsia="標楷體" w:hAnsi="標楷體"/>
              </w:rPr>
              <w:t>報酬率。</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lastRenderedPageBreak/>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rPr>
              <w:lastRenderedPageBreak/>
              <w:t>二、</w:t>
            </w:r>
            <w:r w:rsidRPr="00F51C6C">
              <w:rPr>
                <w:rFonts w:ascii="標楷體" w:eastAsia="標楷體" w:hAnsi="標楷體" w:hint="eastAsia"/>
              </w:rPr>
              <w:t>買賣槓桿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受益憑證</w:t>
            </w:r>
            <w:r w:rsidRPr="00F51C6C">
              <w:rPr>
                <w:rFonts w:ascii="標楷體" w:eastAsia="標楷體" w:hAnsi="標楷體"/>
              </w:rPr>
              <w:t>係基於審慎判斷後決定，並明瞭</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ETF可能</w:t>
            </w:r>
            <w:r w:rsidRPr="00F51C6C">
              <w:rPr>
                <w:rFonts w:ascii="標楷體" w:eastAsia="標楷體" w:hAnsi="標楷體" w:hint="eastAsia"/>
              </w:rPr>
              <w:t>有</w:t>
            </w:r>
            <w:r w:rsidRPr="00F51C6C">
              <w:rPr>
                <w:rFonts w:ascii="標楷體" w:eastAsia="標楷體" w:hAnsi="標楷體"/>
              </w:rPr>
              <w:t>利率、流動性、匯兌、通貨膨脹、再投資、個別事件、稅賦、信用及連結標的</w:t>
            </w:r>
            <w:r w:rsidRPr="00F51C6C">
              <w:rPr>
                <w:rFonts w:ascii="標楷體" w:eastAsia="標楷體" w:hAnsi="標楷體" w:hint="eastAsia"/>
              </w:rPr>
              <w:t>市場</w:t>
            </w:r>
            <w:r w:rsidRPr="00F51C6C">
              <w:rPr>
                <w:rFonts w:ascii="標楷體" w:eastAsia="標楷體" w:hAnsi="標楷體"/>
              </w:rPr>
              <w:t>影響等風險，證券商對</w:t>
            </w:r>
            <w:r w:rsidRPr="00F51C6C">
              <w:rPr>
                <w:rFonts w:ascii="標楷體" w:eastAsia="標楷體" w:hAnsi="標楷體" w:hint="eastAsia"/>
              </w:rPr>
              <w:t>買賣槓桿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受益憑證</w:t>
            </w:r>
            <w:r w:rsidRPr="00F51C6C">
              <w:rPr>
                <w:rFonts w:ascii="標楷體" w:eastAsia="標楷體" w:hAnsi="標楷體"/>
              </w:rPr>
              <w:t>不</w:t>
            </w:r>
            <w:r w:rsidRPr="00F51C6C">
              <w:rPr>
                <w:rFonts w:ascii="標楷體" w:eastAsia="標楷體" w:hAnsi="標楷體" w:hint="eastAsia"/>
              </w:rPr>
              <w:t>會有</w:t>
            </w:r>
            <w:r w:rsidRPr="00F51C6C">
              <w:rPr>
                <w:rFonts w:ascii="標楷體" w:eastAsia="標楷體" w:hAnsi="標楷體"/>
              </w:rPr>
              <w:t>任何投資獲利或保本</w:t>
            </w:r>
            <w:proofErr w:type="gramStart"/>
            <w:r w:rsidRPr="00F51C6C">
              <w:rPr>
                <w:rFonts w:ascii="標楷體" w:eastAsia="標楷體" w:hAnsi="標楷體"/>
              </w:rPr>
              <w:t>之</w:t>
            </w:r>
            <w:proofErr w:type="gramEnd"/>
            <w:r w:rsidRPr="00F51C6C">
              <w:rPr>
                <w:rFonts w:ascii="標楷體" w:eastAsia="標楷體" w:hAnsi="標楷體"/>
              </w:rPr>
              <w:t>保證。</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rPr>
              <w:t>二、</w:t>
            </w:r>
            <w:r w:rsidRPr="00F51C6C">
              <w:rPr>
                <w:rFonts w:ascii="標楷體" w:eastAsia="標楷體" w:hAnsi="標楷體" w:hint="eastAsia"/>
              </w:rPr>
              <w:t>買賣槓桿反向</w:t>
            </w:r>
            <w:r w:rsidRPr="00F51C6C">
              <w:rPr>
                <w:rFonts w:ascii="標楷體" w:eastAsia="標楷體" w:hAnsi="標楷體"/>
              </w:rPr>
              <w:t>ETF</w:t>
            </w:r>
            <w:r w:rsidRPr="00F51C6C">
              <w:rPr>
                <w:rFonts w:ascii="標楷體" w:eastAsia="標楷體" w:hAnsi="標楷體" w:hint="eastAsia"/>
              </w:rPr>
              <w:t>受益憑證</w:t>
            </w:r>
            <w:r w:rsidRPr="00F51C6C">
              <w:rPr>
                <w:rFonts w:ascii="標楷體" w:eastAsia="標楷體" w:hAnsi="標楷體"/>
              </w:rPr>
              <w:t>係基於審慎判斷後決定，並明瞭</w:t>
            </w:r>
            <w:r w:rsidRPr="00F51C6C">
              <w:rPr>
                <w:rFonts w:ascii="標楷體" w:eastAsia="標楷體" w:hAnsi="標楷體" w:hint="eastAsia"/>
              </w:rPr>
              <w:t>槓桿反向</w:t>
            </w:r>
            <w:r w:rsidRPr="00F51C6C">
              <w:rPr>
                <w:rFonts w:ascii="標楷體" w:eastAsia="標楷體" w:hAnsi="標楷體"/>
              </w:rPr>
              <w:t>ETF可能</w:t>
            </w:r>
            <w:r w:rsidRPr="00F51C6C">
              <w:rPr>
                <w:rFonts w:ascii="標楷體" w:eastAsia="標楷體" w:hAnsi="標楷體" w:hint="eastAsia"/>
              </w:rPr>
              <w:t>有</w:t>
            </w:r>
            <w:r w:rsidRPr="00F51C6C">
              <w:rPr>
                <w:rFonts w:ascii="標楷體" w:eastAsia="標楷體" w:hAnsi="標楷體"/>
              </w:rPr>
              <w:t>利率、流動性、匯兌、通貨膨脹、再投資、個別事件、稅賦、信用及連結標的</w:t>
            </w:r>
            <w:r w:rsidRPr="00F51C6C">
              <w:rPr>
                <w:rFonts w:ascii="標楷體" w:eastAsia="標楷體" w:hAnsi="標楷體" w:hint="eastAsia"/>
              </w:rPr>
              <w:t>市場</w:t>
            </w:r>
            <w:r w:rsidRPr="00F51C6C">
              <w:rPr>
                <w:rFonts w:ascii="標楷體" w:eastAsia="標楷體" w:hAnsi="標楷體"/>
              </w:rPr>
              <w:t>影響等風險，證券商對</w:t>
            </w:r>
            <w:r w:rsidRPr="00F51C6C">
              <w:rPr>
                <w:rFonts w:ascii="標楷體" w:eastAsia="標楷體" w:hAnsi="標楷體" w:hint="eastAsia"/>
              </w:rPr>
              <w:t>買賣槓桿反向</w:t>
            </w:r>
            <w:r w:rsidRPr="00F51C6C">
              <w:rPr>
                <w:rFonts w:ascii="標楷體" w:eastAsia="標楷體" w:hAnsi="標楷體"/>
              </w:rPr>
              <w:t>ETF</w:t>
            </w:r>
            <w:r w:rsidRPr="00F51C6C">
              <w:rPr>
                <w:rFonts w:ascii="標楷體" w:eastAsia="標楷體" w:hAnsi="標楷體" w:hint="eastAsia"/>
              </w:rPr>
              <w:t>受益憑證</w:t>
            </w:r>
            <w:r w:rsidRPr="00F51C6C">
              <w:rPr>
                <w:rFonts w:ascii="標楷體" w:eastAsia="標楷體" w:hAnsi="標楷體"/>
              </w:rPr>
              <w:t>不</w:t>
            </w:r>
            <w:r w:rsidRPr="00F51C6C">
              <w:rPr>
                <w:rFonts w:ascii="標楷體" w:eastAsia="標楷體" w:hAnsi="標楷體" w:hint="eastAsia"/>
              </w:rPr>
              <w:t>會有</w:t>
            </w:r>
            <w:r w:rsidRPr="00F51C6C">
              <w:rPr>
                <w:rFonts w:ascii="標楷體" w:eastAsia="標楷體" w:hAnsi="標楷體"/>
              </w:rPr>
              <w:t>任何投資獲利或保本</w:t>
            </w:r>
            <w:proofErr w:type="gramStart"/>
            <w:r w:rsidRPr="00F51C6C">
              <w:rPr>
                <w:rFonts w:ascii="標楷體" w:eastAsia="標楷體" w:hAnsi="標楷體"/>
              </w:rPr>
              <w:t>之</w:t>
            </w:r>
            <w:proofErr w:type="gramEnd"/>
            <w:r w:rsidRPr="00F51C6C">
              <w:rPr>
                <w:rFonts w:ascii="標楷體" w:eastAsia="標楷體" w:hAnsi="標楷體"/>
              </w:rPr>
              <w:t>保證。</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spacing w:line="240" w:lineRule="auto"/>
              <w:ind w:left="480" w:hangingChars="200" w:hanging="480"/>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rPr>
              <w:t>三、</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所投資之期貨、衍生性商品或有價證券，如係</w:t>
            </w:r>
            <w:r w:rsidRPr="00F51C6C">
              <w:rPr>
                <w:rFonts w:ascii="標楷體" w:eastAsia="標楷體" w:hAnsi="標楷體"/>
              </w:rPr>
              <w:t>以外國貨幣交易，除實際交易產生損益外，尚須負擔匯率風險，</w:t>
            </w:r>
            <w:r w:rsidRPr="00F51C6C">
              <w:rPr>
                <w:rFonts w:ascii="標楷體" w:eastAsia="標楷體" w:hAnsi="標楷體" w:hint="eastAsia"/>
              </w:rPr>
              <w:t>且投資標的可能因利率、匯率或其他指標之變動，有直接導致本金損失之虞</w:t>
            </w:r>
            <w:r w:rsidRPr="00F51C6C">
              <w:rPr>
                <w:rFonts w:ascii="標楷體" w:eastAsia="標楷體" w:hAnsi="標楷體"/>
              </w:rPr>
              <w:t>。</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rPr>
              <w:t>三、</w:t>
            </w:r>
            <w:r w:rsidRPr="00F51C6C">
              <w:rPr>
                <w:rFonts w:ascii="標楷體" w:eastAsia="標楷體" w:hAnsi="標楷體" w:hint="eastAsia"/>
              </w:rPr>
              <w:t>槓桿反向</w:t>
            </w:r>
            <w:r w:rsidRPr="00F51C6C">
              <w:rPr>
                <w:rFonts w:ascii="標楷體" w:eastAsia="標楷體" w:hAnsi="標楷體"/>
              </w:rPr>
              <w:t>ETF</w:t>
            </w:r>
            <w:r w:rsidRPr="00F51C6C">
              <w:rPr>
                <w:rFonts w:ascii="標楷體" w:eastAsia="標楷體" w:hAnsi="標楷體" w:hint="eastAsia"/>
              </w:rPr>
              <w:t>所投資之期貨、衍生性商品或有價證券，如係</w:t>
            </w:r>
            <w:r w:rsidRPr="00F51C6C">
              <w:rPr>
                <w:rFonts w:ascii="標楷體" w:eastAsia="標楷體" w:hAnsi="標楷體"/>
              </w:rPr>
              <w:t>以外國貨幣交易，除實際交易產生損益外，尚須負擔匯率風險，</w:t>
            </w:r>
            <w:r w:rsidRPr="00F51C6C">
              <w:rPr>
                <w:rFonts w:ascii="標楷體" w:eastAsia="標楷體" w:hAnsi="標楷體" w:hint="eastAsia"/>
              </w:rPr>
              <w:t>且投資標的可能因利率、匯率或其他指標之變動，有直接導致本金損失之虞</w:t>
            </w:r>
            <w:r w:rsidRPr="00F51C6C">
              <w:rPr>
                <w:rFonts w:ascii="標楷體" w:eastAsia="標楷體" w:hAnsi="標楷體"/>
              </w:rPr>
              <w:t>。</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四、槓桿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ETF投資標的</w:t>
            </w:r>
            <w:r w:rsidRPr="00F51C6C">
              <w:rPr>
                <w:rFonts w:ascii="標楷體" w:eastAsia="標楷體" w:hAnsi="標楷體" w:hint="eastAsia"/>
              </w:rPr>
              <w:t>如在</w:t>
            </w:r>
            <w:r w:rsidRPr="00F51C6C">
              <w:rPr>
                <w:rFonts w:ascii="標楷體" w:eastAsia="標楷體" w:hAnsi="標楷體"/>
              </w:rPr>
              <w:t>國外交易所</w:t>
            </w:r>
            <w:r w:rsidRPr="00F51C6C">
              <w:rPr>
                <w:rFonts w:ascii="標楷體" w:eastAsia="標楷體" w:hAnsi="標楷體" w:hint="eastAsia"/>
              </w:rPr>
              <w:t>上市</w:t>
            </w:r>
            <w:r w:rsidRPr="00F51C6C">
              <w:rPr>
                <w:rFonts w:ascii="標楷體" w:eastAsia="標楷體" w:hAnsi="標楷體"/>
              </w:rPr>
              <w:t>，</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ETF發行人依規定於網站所揭露ETF淨值，可能因時差關係，僅係以該國外交易所</w:t>
            </w:r>
            <w:r w:rsidRPr="00F51C6C">
              <w:rPr>
                <w:rFonts w:ascii="標楷體" w:eastAsia="標楷體" w:hAnsi="標楷體" w:hint="eastAsia"/>
              </w:rPr>
              <w:t>最近一營業</w:t>
            </w:r>
            <w:r w:rsidRPr="00F51C6C">
              <w:rPr>
                <w:rFonts w:ascii="標楷體" w:eastAsia="標楷體" w:hAnsi="標楷體" w:hint="eastAsia"/>
              </w:rPr>
              <w:lastRenderedPageBreak/>
              <w:t>日之</w:t>
            </w:r>
            <w:r w:rsidRPr="00F51C6C">
              <w:rPr>
                <w:rFonts w:ascii="標楷體" w:eastAsia="標楷體" w:hAnsi="標楷體"/>
              </w:rPr>
              <w:t>收盤價計算。</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四、槓桿反向</w:t>
            </w:r>
            <w:r w:rsidRPr="00F51C6C">
              <w:rPr>
                <w:rFonts w:ascii="標楷體" w:eastAsia="標楷體" w:hAnsi="標楷體"/>
              </w:rPr>
              <w:t>ETF投資標的</w:t>
            </w:r>
            <w:r w:rsidRPr="00F51C6C">
              <w:rPr>
                <w:rFonts w:ascii="標楷體" w:eastAsia="標楷體" w:hAnsi="標楷體" w:hint="eastAsia"/>
              </w:rPr>
              <w:t>如在</w:t>
            </w:r>
            <w:r w:rsidRPr="00F51C6C">
              <w:rPr>
                <w:rFonts w:ascii="標楷體" w:eastAsia="標楷體" w:hAnsi="標楷體"/>
              </w:rPr>
              <w:t>國外交易所</w:t>
            </w:r>
            <w:r w:rsidRPr="00F51C6C">
              <w:rPr>
                <w:rFonts w:ascii="標楷體" w:eastAsia="標楷體" w:hAnsi="標楷體" w:hint="eastAsia"/>
              </w:rPr>
              <w:t>上市</w:t>
            </w:r>
            <w:r w:rsidRPr="00F51C6C">
              <w:rPr>
                <w:rFonts w:ascii="標楷體" w:eastAsia="標楷體" w:hAnsi="標楷體"/>
              </w:rPr>
              <w:t>，</w:t>
            </w:r>
            <w:r w:rsidRPr="00F51C6C">
              <w:rPr>
                <w:rFonts w:ascii="標楷體" w:eastAsia="標楷體" w:hAnsi="標楷體" w:hint="eastAsia"/>
              </w:rPr>
              <w:t>槓桿反向</w:t>
            </w:r>
            <w:r w:rsidRPr="00F51C6C">
              <w:rPr>
                <w:rFonts w:ascii="標楷體" w:eastAsia="標楷體" w:hAnsi="標楷體"/>
              </w:rPr>
              <w:t>ETF發行人依規定於網站所揭露ETF淨值，可能因時差關係，僅係以該國外交易所</w:t>
            </w:r>
            <w:r w:rsidRPr="00F51C6C">
              <w:rPr>
                <w:rFonts w:ascii="標楷體" w:eastAsia="標楷體" w:hAnsi="標楷體" w:hint="eastAsia"/>
              </w:rPr>
              <w:t>最近一營業日</w:t>
            </w:r>
            <w:r w:rsidRPr="00F51C6C">
              <w:rPr>
                <w:rFonts w:ascii="標楷體" w:eastAsia="標楷體" w:hAnsi="標楷體" w:hint="eastAsia"/>
              </w:rPr>
              <w:lastRenderedPageBreak/>
              <w:t>之</w:t>
            </w:r>
            <w:r w:rsidRPr="00F51C6C">
              <w:rPr>
                <w:rFonts w:ascii="標楷體" w:eastAsia="標楷體" w:hAnsi="標楷體"/>
              </w:rPr>
              <w:t>收盤價計算。</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lastRenderedPageBreak/>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五</w:t>
            </w:r>
            <w:r w:rsidRPr="00F51C6C">
              <w:rPr>
                <w:rFonts w:ascii="標楷體" w:eastAsia="標楷體" w:hAnsi="標楷體"/>
              </w:rPr>
              <w:t>、</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hint="eastAsia"/>
              </w:rPr>
              <w:t>ETF</w:t>
            </w:r>
            <w:r w:rsidRPr="00F51C6C">
              <w:rPr>
                <w:rFonts w:ascii="標楷體" w:eastAsia="標楷體" w:hAnsi="標楷體"/>
              </w:rPr>
              <w:t>投資標的</w:t>
            </w:r>
            <w:r w:rsidRPr="00F51C6C">
              <w:rPr>
                <w:rFonts w:ascii="標楷體" w:eastAsia="標楷體" w:hAnsi="標楷體" w:hint="eastAsia"/>
              </w:rPr>
              <w:t>主要為國內外之期貨、衍生性商品或有價證券，而前述商品可能會因為流動性、現金股利、投資人預期心理、利率、匯率、通貨膨漲等相關因素，造成交易價格與標的指數間產生正逆價差</w:t>
            </w:r>
            <w:proofErr w:type="gramStart"/>
            <w:r w:rsidRPr="00F51C6C">
              <w:rPr>
                <w:rFonts w:ascii="標楷體" w:eastAsia="標楷體" w:hAnsi="標楷體" w:hint="eastAsia"/>
              </w:rPr>
              <w:t>（</w:t>
            </w:r>
            <w:proofErr w:type="gramEnd"/>
            <w:r w:rsidRPr="00F51C6C">
              <w:rPr>
                <w:rFonts w:ascii="標楷體" w:eastAsia="標楷體" w:hAnsi="標楷體" w:hint="eastAsia"/>
              </w:rPr>
              <w:t>例如：期貨交易價格大於或小於標的指數</w:t>
            </w:r>
            <w:proofErr w:type="gramStart"/>
            <w:r w:rsidRPr="00F51C6C">
              <w:rPr>
                <w:rFonts w:ascii="標楷體" w:eastAsia="標楷體" w:hAnsi="標楷體" w:hint="eastAsia"/>
              </w:rPr>
              <w:t>）</w:t>
            </w:r>
            <w:proofErr w:type="gramEnd"/>
            <w:r w:rsidRPr="00F51C6C">
              <w:rPr>
                <w:rFonts w:ascii="標楷體" w:eastAsia="標楷體" w:hAnsi="標楷體" w:hint="eastAsia"/>
              </w:rPr>
              <w:t>之情況，亦將影響槓桿反向ETF之淨資產價值。</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五</w:t>
            </w:r>
            <w:r w:rsidRPr="00F51C6C">
              <w:rPr>
                <w:rFonts w:ascii="標楷體" w:eastAsia="標楷體" w:hAnsi="標楷體"/>
              </w:rPr>
              <w:t>、</w:t>
            </w:r>
            <w:r w:rsidRPr="00F51C6C">
              <w:rPr>
                <w:rFonts w:ascii="標楷體" w:eastAsia="標楷體" w:hAnsi="標楷體" w:hint="eastAsia"/>
              </w:rPr>
              <w:t>槓桿反向ETF</w:t>
            </w:r>
            <w:r w:rsidRPr="00F51C6C">
              <w:rPr>
                <w:rFonts w:ascii="標楷體" w:eastAsia="標楷體" w:hAnsi="標楷體"/>
              </w:rPr>
              <w:t>投資標的</w:t>
            </w:r>
            <w:r w:rsidRPr="00F51C6C">
              <w:rPr>
                <w:rFonts w:ascii="標楷體" w:eastAsia="標楷體" w:hAnsi="標楷體" w:hint="eastAsia"/>
              </w:rPr>
              <w:t>主要為國內外之期貨、衍生性商品或有價證券，而前述商品可能會因為流動性、現金股利、投資人預期心理、利率、匯率、通貨膨漲等相關因素，造成交易價格與標的指數間產生正逆價差</w:t>
            </w:r>
            <w:proofErr w:type="gramStart"/>
            <w:r w:rsidRPr="00F51C6C">
              <w:rPr>
                <w:rFonts w:ascii="標楷體" w:eastAsia="標楷體" w:hAnsi="標楷體" w:hint="eastAsia"/>
              </w:rPr>
              <w:t>（</w:t>
            </w:r>
            <w:proofErr w:type="gramEnd"/>
            <w:r w:rsidRPr="00F51C6C">
              <w:rPr>
                <w:rFonts w:ascii="標楷體" w:eastAsia="標楷體" w:hAnsi="標楷體" w:hint="eastAsia"/>
              </w:rPr>
              <w:t>例如：期貨交易價格大於或小於標的指數</w:t>
            </w:r>
            <w:proofErr w:type="gramStart"/>
            <w:r w:rsidRPr="00F51C6C">
              <w:rPr>
                <w:rFonts w:ascii="標楷體" w:eastAsia="標楷體" w:hAnsi="標楷體" w:hint="eastAsia"/>
              </w:rPr>
              <w:t>）</w:t>
            </w:r>
            <w:proofErr w:type="gramEnd"/>
            <w:r w:rsidRPr="00F51C6C">
              <w:rPr>
                <w:rFonts w:ascii="標楷體" w:eastAsia="標楷體" w:hAnsi="標楷體" w:hint="eastAsia"/>
              </w:rPr>
              <w:t>之情況，亦將影響槓桿反向ETF之淨資產價值。</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六</w:t>
            </w:r>
            <w:r w:rsidRPr="00F51C6C">
              <w:rPr>
                <w:rFonts w:ascii="標楷體" w:eastAsia="標楷體" w:hAnsi="標楷體"/>
              </w:rPr>
              <w:t>、</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標的指數如為國外指數，或標的指數含一種以上國外有價證券者，槓桿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hint="eastAsia"/>
              </w:rPr>
              <w:t>ETF受益憑證無漲跌幅度限制，標的指數如為國內指數者，其受益憑證漲跌幅度為</w:t>
            </w:r>
            <w:r w:rsidRPr="00F51C6C">
              <w:rPr>
                <w:rFonts w:ascii="標楷體" w:eastAsia="標楷體" w:hAnsi="標楷體" w:hint="eastAsia"/>
                <w:kern w:val="0"/>
                <w:szCs w:val="24"/>
              </w:rPr>
              <w:t>國內證券市場有價證券漲跌幅度</w:t>
            </w:r>
            <w:r w:rsidRPr="00F51C6C">
              <w:rPr>
                <w:rFonts w:ascii="標楷體" w:eastAsia="標楷體" w:hAnsi="標楷體" w:hint="eastAsia"/>
              </w:rPr>
              <w:t>之倍數。基於前述特性，委託人完全瞭解交易槓桿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hint="eastAsia"/>
              </w:rPr>
              <w:t>ETF受益憑證有可能因標的指數波動，而在極短時間內</w:t>
            </w:r>
            <w:r w:rsidRPr="00F51C6C">
              <w:rPr>
                <w:rFonts w:ascii="標楷體" w:eastAsia="標楷體" w:hAnsi="標楷體"/>
              </w:rPr>
              <w:t>產生極大利潤</w:t>
            </w:r>
            <w:r w:rsidRPr="00F51C6C">
              <w:rPr>
                <w:rFonts w:ascii="標楷體" w:eastAsia="標楷體" w:hAnsi="標楷體" w:hint="eastAsia"/>
              </w:rPr>
              <w:t>或</w:t>
            </w:r>
            <w:r w:rsidRPr="00F51C6C">
              <w:rPr>
                <w:rFonts w:ascii="標楷體" w:eastAsia="標楷體" w:hAnsi="標楷體"/>
              </w:rPr>
              <w:t>極大損失。</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六</w:t>
            </w:r>
            <w:r w:rsidRPr="00F51C6C">
              <w:rPr>
                <w:rFonts w:ascii="標楷體" w:eastAsia="標楷體" w:hAnsi="標楷體"/>
              </w:rPr>
              <w:t>、</w:t>
            </w:r>
            <w:r w:rsidRPr="00F51C6C">
              <w:rPr>
                <w:rFonts w:ascii="標楷體" w:eastAsia="標楷體" w:hAnsi="標楷體" w:hint="eastAsia"/>
              </w:rPr>
              <w:t>槓桿反向</w:t>
            </w:r>
            <w:r w:rsidRPr="00F51C6C">
              <w:rPr>
                <w:rFonts w:ascii="標楷體" w:eastAsia="標楷體" w:hAnsi="標楷體"/>
              </w:rPr>
              <w:t>ETF</w:t>
            </w:r>
            <w:r w:rsidRPr="00F51C6C">
              <w:rPr>
                <w:rFonts w:ascii="標楷體" w:eastAsia="標楷體" w:hAnsi="標楷體" w:hint="eastAsia"/>
              </w:rPr>
              <w:t>標的指數如為國外指數，或標的指數含一種以上國外有價證券者，槓桿反向ETF受益憑證無漲跌幅度限制，標的指數如為國內指數者，其受益憑證漲跌幅度為</w:t>
            </w:r>
            <w:r w:rsidRPr="00F51C6C">
              <w:rPr>
                <w:rFonts w:ascii="標楷體" w:eastAsia="標楷體" w:hAnsi="標楷體" w:hint="eastAsia"/>
                <w:kern w:val="0"/>
                <w:szCs w:val="24"/>
              </w:rPr>
              <w:t>國內證券市場有價證券漲跌幅度</w:t>
            </w:r>
            <w:r w:rsidRPr="00F51C6C">
              <w:rPr>
                <w:rFonts w:ascii="標楷體" w:eastAsia="標楷體" w:hAnsi="標楷體" w:hint="eastAsia"/>
              </w:rPr>
              <w:t>之倍數。基於前述特性，委託人完全瞭解交易槓桿反向ETF受益憑證有可能因標的指數波動，而在極短時間內</w:t>
            </w:r>
            <w:r w:rsidRPr="00F51C6C">
              <w:rPr>
                <w:rFonts w:ascii="標楷體" w:eastAsia="標楷體" w:hAnsi="標楷體"/>
              </w:rPr>
              <w:t>產生極大利潤</w:t>
            </w:r>
            <w:r w:rsidRPr="00F51C6C">
              <w:rPr>
                <w:rFonts w:ascii="標楷體" w:eastAsia="標楷體" w:hAnsi="標楷體" w:hint="eastAsia"/>
              </w:rPr>
              <w:t>或</w:t>
            </w:r>
            <w:r w:rsidRPr="00F51C6C">
              <w:rPr>
                <w:rFonts w:ascii="標楷體" w:eastAsia="標楷體" w:hAnsi="標楷體"/>
              </w:rPr>
              <w:t>極大損失。</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七、如依市場報價</w:t>
            </w:r>
            <w:r w:rsidRPr="00F51C6C">
              <w:rPr>
                <w:rFonts w:ascii="標楷體" w:eastAsia="標楷體" w:hAnsi="標楷體"/>
              </w:rPr>
              <w:t>買賣</w:t>
            </w:r>
            <w:r w:rsidRPr="00F51C6C">
              <w:rPr>
                <w:rFonts w:ascii="標楷體" w:eastAsia="標楷體" w:hAnsi="標楷體" w:hint="eastAsia"/>
              </w:rPr>
              <w:t>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受益憑證，有可能會出現買賣報價數量不足，或買賣報價</w:t>
            </w:r>
            <w:proofErr w:type="gramStart"/>
            <w:r w:rsidRPr="00F51C6C">
              <w:rPr>
                <w:rFonts w:ascii="標楷體" w:eastAsia="標楷體" w:hAnsi="標楷體" w:hint="eastAsia"/>
              </w:rPr>
              <w:t>價</w:t>
            </w:r>
            <w:proofErr w:type="gramEnd"/>
            <w:r w:rsidRPr="00F51C6C">
              <w:rPr>
                <w:rFonts w:ascii="標楷體" w:eastAsia="標楷體" w:hAnsi="標楷體" w:hint="eastAsia"/>
              </w:rPr>
              <w:t>差較大之情況，投資前應詳細蒐集槓桿</w:t>
            </w:r>
            <w:proofErr w:type="gramStart"/>
            <w:r w:rsidRPr="00F51C6C">
              <w:rPr>
                <w:rFonts w:ascii="標楷體" w:eastAsia="標楷體" w:hAnsi="標楷體" w:hint="eastAsia"/>
              </w:rPr>
              <w:lastRenderedPageBreak/>
              <w:t>反向</w:t>
            </w:r>
            <w:r w:rsidRPr="00F51C6C">
              <w:rPr>
                <w:rFonts w:ascii="標楷體" w:eastAsia="標楷體" w:hAnsi="標楷體" w:hint="eastAsia"/>
                <w:u w:val="single"/>
              </w:rPr>
              <w:t>型</w:t>
            </w:r>
            <w:proofErr w:type="gramEnd"/>
            <w:r w:rsidRPr="00F51C6C">
              <w:rPr>
                <w:rFonts w:ascii="標楷體" w:eastAsia="標楷體" w:hAnsi="標楷體"/>
              </w:rPr>
              <w:t>ETF</w:t>
            </w:r>
            <w:r w:rsidRPr="00F51C6C">
              <w:rPr>
                <w:rFonts w:ascii="標楷體" w:eastAsia="標楷體" w:hAnsi="標楷體" w:hint="eastAsia"/>
              </w:rPr>
              <w:t>受益憑證買賣報價相關資訊，並注意流動性風險所可能造成之投資損失。</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七、如依市場報價</w:t>
            </w:r>
            <w:r w:rsidRPr="00F51C6C">
              <w:rPr>
                <w:rFonts w:ascii="標楷體" w:eastAsia="標楷體" w:hAnsi="標楷體"/>
              </w:rPr>
              <w:t>買賣</w:t>
            </w:r>
            <w:r w:rsidRPr="00F51C6C">
              <w:rPr>
                <w:rFonts w:ascii="標楷體" w:eastAsia="標楷體" w:hAnsi="標楷體" w:hint="eastAsia"/>
              </w:rPr>
              <w:t>槓桿反向</w:t>
            </w:r>
            <w:r w:rsidRPr="00F51C6C">
              <w:rPr>
                <w:rFonts w:ascii="標楷體" w:eastAsia="標楷體" w:hAnsi="標楷體"/>
              </w:rPr>
              <w:t>ETF</w:t>
            </w:r>
            <w:r w:rsidRPr="00F51C6C">
              <w:rPr>
                <w:rFonts w:ascii="標楷體" w:eastAsia="標楷體" w:hAnsi="標楷體" w:hint="eastAsia"/>
              </w:rPr>
              <w:t>受益憑證，有可能會出現買賣報價數量不足，或買賣報價</w:t>
            </w:r>
            <w:proofErr w:type="gramStart"/>
            <w:r w:rsidRPr="00F51C6C">
              <w:rPr>
                <w:rFonts w:ascii="標楷體" w:eastAsia="標楷體" w:hAnsi="標楷體" w:hint="eastAsia"/>
              </w:rPr>
              <w:t>價</w:t>
            </w:r>
            <w:proofErr w:type="gramEnd"/>
            <w:r w:rsidRPr="00F51C6C">
              <w:rPr>
                <w:rFonts w:ascii="標楷體" w:eastAsia="標楷體" w:hAnsi="標楷體" w:hint="eastAsia"/>
              </w:rPr>
              <w:t>差較大之情況，投資前應詳細蒐集槓桿反</w:t>
            </w:r>
            <w:r w:rsidRPr="00F51C6C">
              <w:rPr>
                <w:rFonts w:ascii="標楷體" w:eastAsia="標楷體" w:hAnsi="標楷體" w:hint="eastAsia"/>
              </w:rPr>
              <w:lastRenderedPageBreak/>
              <w:t>向</w:t>
            </w:r>
            <w:r w:rsidRPr="00F51C6C">
              <w:rPr>
                <w:rFonts w:ascii="標楷體" w:eastAsia="標楷體" w:hAnsi="標楷體"/>
              </w:rPr>
              <w:t>ETF</w:t>
            </w:r>
            <w:r w:rsidRPr="00F51C6C">
              <w:rPr>
                <w:rFonts w:ascii="標楷體" w:eastAsia="標楷體" w:hAnsi="標楷體" w:hint="eastAsia"/>
              </w:rPr>
              <w:t>受益憑證買賣報價相關資訊，並注意流動性風險所可能造成之投資損失。</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lastRenderedPageBreak/>
              <w:t>酌修文字</w:t>
            </w:r>
            <w:proofErr w:type="gramEnd"/>
            <w:r w:rsidRPr="00F51C6C">
              <w:rPr>
                <w:rFonts w:ascii="標楷體" w:eastAsia="標楷體" w:hAnsi="標楷體"/>
                <w:szCs w:val="24"/>
              </w:rPr>
              <w:t>。</w:t>
            </w:r>
          </w:p>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八、槓桿</w:t>
            </w:r>
            <w:proofErr w:type="gramStart"/>
            <w:r w:rsidRPr="00F51C6C">
              <w:rPr>
                <w:rFonts w:ascii="標楷體" w:eastAsia="標楷體" w:hAnsi="標楷體" w:hint="eastAsia"/>
              </w:rPr>
              <w:t>反向</w:t>
            </w:r>
            <w:r w:rsidRPr="00F51C6C">
              <w:rPr>
                <w:rFonts w:ascii="標楷體" w:eastAsia="標楷體" w:hAnsi="標楷體" w:hint="eastAsia"/>
                <w:u w:val="single"/>
              </w:rPr>
              <w:t>型</w:t>
            </w:r>
            <w:proofErr w:type="gramEnd"/>
            <w:r w:rsidRPr="00F51C6C">
              <w:rPr>
                <w:rFonts w:ascii="標楷體" w:eastAsia="標楷體" w:hAnsi="標楷體" w:hint="eastAsia"/>
              </w:rPr>
              <w:t>ETF受益憑證具槓桿特性，倘</w:t>
            </w:r>
            <w:r w:rsidRPr="00F51C6C">
              <w:rPr>
                <w:rFonts w:ascii="標楷體" w:eastAsia="標楷體" w:hAnsi="標楷體" w:hint="eastAsia"/>
                <w:u w:val="single"/>
              </w:rPr>
              <w:t>委託</w:t>
            </w:r>
            <w:r w:rsidRPr="00F51C6C">
              <w:rPr>
                <w:rFonts w:ascii="標楷體" w:eastAsia="標楷體" w:hAnsi="標楷體" w:hint="eastAsia"/>
              </w:rPr>
              <w:t>人以具槓桿效果之融資融券交易，當價格走勢符合預期時，可獲取更高之報酬；</w:t>
            </w:r>
            <w:proofErr w:type="gramStart"/>
            <w:r w:rsidRPr="00F51C6C">
              <w:rPr>
                <w:rFonts w:ascii="標楷體" w:eastAsia="標楷體" w:hAnsi="標楷體" w:hint="eastAsia"/>
              </w:rPr>
              <w:t>反之，</w:t>
            </w:r>
            <w:proofErr w:type="gramEnd"/>
            <w:r w:rsidRPr="00F51C6C">
              <w:rPr>
                <w:rFonts w:ascii="標楷體" w:eastAsia="標楷體" w:hAnsi="標楷體" w:hint="eastAsia"/>
              </w:rPr>
              <w:t>將產生更大之損失，同時可能因擔保維持率下跌而面臨授信機構追繳處分。</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八、槓桿反向ETF受益憑證具槓桿特性，倘投資人以具槓桿效果之融資融券交易，當價格走勢符合預期時，可獲取更高之報酬；</w:t>
            </w:r>
            <w:proofErr w:type="gramStart"/>
            <w:r w:rsidRPr="00F51C6C">
              <w:rPr>
                <w:rFonts w:ascii="標楷體" w:eastAsia="標楷體" w:hAnsi="標楷體" w:hint="eastAsia"/>
              </w:rPr>
              <w:t>反之，</w:t>
            </w:r>
            <w:proofErr w:type="gramEnd"/>
            <w:r w:rsidRPr="00F51C6C">
              <w:rPr>
                <w:rFonts w:ascii="標楷體" w:eastAsia="標楷體" w:hAnsi="標楷體" w:hint="eastAsia"/>
              </w:rPr>
              <w:t>將產生更大之損失，同時可能因擔保維持率下跌而面臨授信機構追繳處分。</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hint="eastAsia"/>
              </w:rPr>
              <w:t>買賣指數股票型期貨信託基金受益憑證</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hint="eastAsia"/>
              </w:rPr>
              <w:t>買賣指數股票型期貨信託基金受益憑證</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082B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指數股票型期貨信託基金（下稱期貨ETF），係以國外期貨指數作為主要投資追蹤標的，而期貨指數標的範圍廣泛，可包括：商品、</w:t>
            </w:r>
            <w:r w:rsidRPr="00F51C6C">
              <w:rPr>
                <w:rFonts w:ascii="標楷體" w:eastAsia="標楷體" w:hAnsi="標楷體" w:cs="細明體" w:hint="eastAsia"/>
                <w:kern w:val="0"/>
                <w:szCs w:val="24"/>
                <w:u w:val="single"/>
              </w:rPr>
              <w:t>利率</w:t>
            </w:r>
            <w:r w:rsidRPr="00F51C6C">
              <w:rPr>
                <w:rFonts w:ascii="標楷體" w:eastAsia="標楷體" w:hAnsi="標楷體" w:cs="細明體" w:hint="eastAsia"/>
                <w:kern w:val="0"/>
                <w:szCs w:val="24"/>
              </w:rPr>
              <w:t>等，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u w:val="single"/>
              </w:rPr>
              <w:t>委託人買賣</w:t>
            </w:r>
            <w:r w:rsidRPr="00F51C6C">
              <w:rPr>
                <w:rFonts w:ascii="標楷體" w:eastAsia="標楷體" w:hAnsi="標楷體" w:cs="細明體" w:hint="eastAsia"/>
                <w:kern w:val="0"/>
                <w:szCs w:val="24"/>
              </w:rPr>
              <w:t>指數股票型期貨信託基金</w:t>
            </w:r>
            <w:r w:rsidRPr="00F51C6C">
              <w:rPr>
                <w:rFonts w:ascii="標楷體" w:eastAsia="標楷體" w:hAnsi="標楷體" w:cs="細明體" w:hint="eastAsia"/>
                <w:kern w:val="0"/>
                <w:szCs w:val="24"/>
                <w:u w:val="single"/>
              </w:rPr>
              <w:t>受益憑證</w:t>
            </w:r>
            <w:r w:rsidRPr="00F51C6C">
              <w:rPr>
                <w:rFonts w:ascii="標楷體" w:eastAsia="標楷體" w:hAnsi="標楷體" w:cs="細明體" w:hint="eastAsia"/>
                <w:kern w:val="0"/>
                <w:szCs w:val="24"/>
              </w:rPr>
              <w:t>（下稱期貨ETF），</w:t>
            </w:r>
            <w:r w:rsidRPr="00F51C6C">
              <w:rPr>
                <w:rFonts w:ascii="標楷體" w:eastAsia="標楷體" w:hAnsi="標楷體" w:cs="細明體" w:hint="eastAsia"/>
                <w:kern w:val="0"/>
                <w:szCs w:val="24"/>
                <w:u w:val="single"/>
              </w:rPr>
              <w:t>因期貨ETF</w:t>
            </w:r>
            <w:r w:rsidRPr="00F51C6C">
              <w:rPr>
                <w:rFonts w:ascii="標楷體" w:eastAsia="標楷體" w:hAnsi="標楷體" w:cs="細明體" w:hint="eastAsia"/>
                <w:kern w:val="0"/>
                <w:szCs w:val="24"/>
              </w:rPr>
              <w:t xml:space="preserve"> 係以國外</w:t>
            </w:r>
            <w:r w:rsidRPr="00F51C6C">
              <w:rPr>
                <w:rFonts w:ascii="標楷體" w:eastAsia="標楷體" w:hAnsi="標楷體" w:cs="細明體" w:hint="eastAsia"/>
                <w:kern w:val="0"/>
                <w:szCs w:val="24"/>
                <w:u w:val="single"/>
              </w:rPr>
              <w:t>商品</w:t>
            </w:r>
            <w:r w:rsidRPr="00F51C6C">
              <w:rPr>
                <w:rFonts w:ascii="標楷體" w:eastAsia="標楷體" w:hAnsi="標楷體" w:cs="細明體" w:hint="eastAsia"/>
                <w:kern w:val="0"/>
                <w:szCs w:val="24"/>
              </w:rPr>
              <w:t>期貨指數作為主要投資追蹤標的，而期貨指數標的範圍廣泛，可包括：商品、</w:t>
            </w:r>
            <w:r w:rsidRPr="00F51C6C">
              <w:rPr>
                <w:rFonts w:ascii="標楷體" w:eastAsia="標楷體" w:hAnsi="標楷體" w:cs="細明體" w:hint="eastAsia"/>
                <w:kern w:val="0"/>
                <w:szCs w:val="24"/>
                <w:u w:val="single"/>
              </w:rPr>
              <w:t>原物料、能源、農產品</w:t>
            </w:r>
            <w:r w:rsidRPr="00F51C6C">
              <w:rPr>
                <w:rFonts w:ascii="標楷體" w:eastAsia="標楷體" w:hAnsi="標楷體" w:cs="細明體" w:hint="eastAsia"/>
                <w:kern w:val="0"/>
                <w:szCs w:val="24"/>
              </w:rPr>
              <w:t>等，交易期貨 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鑑</w:t>
            </w:r>
            <w:proofErr w:type="gramEnd"/>
            <w:r w:rsidRPr="00F51C6C">
              <w:rPr>
                <w:rFonts w:ascii="標楷體" w:eastAsia="標楷體" w:hAnsi="標楷體"/>
                <w:szCs w:val="24"/>
              </w:rPr>
              <w:t>於原物料、能源及</w:t>
            </w:r>
            <w:proofErr w:type="gramStart"/>
            <w:r w:rsidRPr="00F51C6C">
              <w:rPr>
                <w:rFonts w:ascii="標楷體" w:eastAsia="標楷體" w:hAnsi="標楷體"/>
                <w:szCs w:val="24"/>
              </w:rPr>
              <w:t>農產品均屬商品</w:t>
            </w:r>
            <w:proofErr w:type="gramEnd"/>
            <w:r w:rsidRPr="00F51C6C">
              <w:rPr>
                <w:rFonts w:ascii="標楷體" w:eastAsia="標楷體" w:hAnsi="標楷體"/>
                <w:szCs w:val="24"/>
              </w:rPr>
              <w:t>，</w:t>
            </w:r>
            <w:proofErr w:type="gramStart"/>
            <w:r w:rsidRPr="00F51C6C">
              <w:rPr>
                <w:rFonts w:ascii="標楷體" w:eastAsia="標楷體" w:hAnsi="標楷體"/>
                <w:szCs w:val="24"/>
              </w:rPr>
              <w:t>爰</w:t>
            </w:r>
            <w:proofErr w:type="gramEnd"/>
            <w:r w:rsidRPr="00F51C6C">
              <w:rPr>
                <w:rFonts w:ascii="標楷體" w:eastAsia="標楷體" w:hAnsi="標楷體"/>
                <w:szCs w:val="24"/>
              </w:rPr>
              <w:t>刪除「原物料、能源、農產品」等字，增列「利率」</w:t>
            </w:r>
            <w:proofErr w:type="gramStart"/>
            <w:r w:rsidRPr="00F51C6C">
              <w:rPr>
                <w:rFonts w:ascii="標楷體" w:eastAsia="標楷體" w:hAnsi="標楷體"/>
                <w:szCs w:val="24"/>
              </w:rPr>
              <w:t>並酌修文字</w:t>
            </w:r>
            <w:proofErr w:type="gramEnd"/>
            <w:r w:rsidRPr="00F51C6C">
              <w:rPr>
                <w:rFonts w:ascii="標楷體" w:eastAsia="標楷體" w:hAnsi="標楷體"/>
                <w:szCs w:val="24"/>
              </w:rPr>
              <w:t>。</w:t>
            </w:r>
          </w:p>
        </w:tc>
      </w:tr>
      <w:tr w:rsidR="00F51C6C" w:rsidRPr="00F51C6C" w:rsidTr="00F51C6C">
        <w:tc>
          <w:tcPr>
            <w:tcW w:w="3044" w:type="dxa"/>
          </w:tcPr>
          <w:p w:rsidR="00F51C6C" w:rsidRPr="00F51C6C" w:rsidRDefault="00F51C6C" w:rsidP="004C40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一、買賣期貨ETF受益憑證之投資風險依期貨 ETF所投資之期貨指數</w:t>
            </w:r>
            <w:r w:rsidRPr="00F51C6C">
              <w:rPr>
                <w:rFonts w:ascii="標楷體" w:eastAsia="標楷體" w:hAnsi="標楷體" w:cs="細明體" w:hint="eastAsia"/>
                <w:kern w:val="0"/>
                <w:szCs w:val="24"/>
              </w:rPr>
              <w:lastRenderedPageBreak/>
              <w:t>而有所差異，委託人應就期貨ETF連結之國外期貨指數標的，分別瞭解其特性及風險，並隨時注意該期貨指數之標的商品於現貨市場之價格變動情形。</w:t>
            </w:r>
          </w:p>
        </w:tc>
        <w:tc>
          <w:tcPr>
            <w:tcW w:w="3045" w:type="dxa"/>
          </w:tcPr>
          <w:p w:rsidR="00F51C6C" w:rsidRPr="00F51C6C" w:rsidRDefault="00F51C6C" w:rsidP="004C40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一、買賣期貨ETF受益憑證之投資風險依期貨 ETF所投資之期貨指數</w:t>
            </w:r>
            <w:r w:rsidRPr="00F51C6C">
              <w:rPr>
                <w:rFonts w:ascii="標楷體" w:eastAsia="標楷體" w:hAnsi="標楷體" w:cs="細明體" w:hint="eastAsia"/>
                <w:kern w:val="0"/>
                <w:szCs w:val="24"/>
              </w:rPr>
              <w:lastRenderedPageBreak/>
              <w:t>而有所差異，委託人應就期貨ETF連結之國外</w:t>
            </w:r>
            <w:r w:rsidRPr="00F51C6C">
              <w:rPr>
                <w:rFonts w:ascii="標楷體" w:eastAsia="標楷體" w:hAnsi="標楷體" w:cs="細明體" w:hint="eastAsia"/>
                <w:kern w:val="0"/>
                <w:szCs w:val="24"/>
                <w:u w:val="single"/>
              </w:rPr>
              <w:t>商品</w:t>
            </w:r>
            <w:r w:rsidRPr="00F51C6C">
              <w:rPr>
                <w:rFonts w:ascii="標楷體" w:eastAsia="標楷體" w:hAnsi="標楷體" w:cs="細明體" w:hint="eastAsia"/>
                <w:kern w:val="0"/>
                <w:szCs w:val="24"/>
              </w:rPr>
              <w:t>期貨指數標的</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u w:val="single"/>
              </w:rPr>
              <w:t>例如：商品、原物料、能源、農產品等</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rPr>
              <w:t>，分別瞭解其特性及風險，並隨時注意該期貨指數之標的商品於現貨市場之價格變動情形。</w:t>
            </w:r>
          </w:p>
        </w:tc>
        <w:tc>
          <w:tcPr>
            <w:tcW w:w="2524" w:type="dxa"/>
          </w:tcPr>
          <w:p w:rsidR="00F51C6C" w:rsidRPr="00F51C6C" w:rsidRDefault="00F51C6C" w:rsidP="004D5794">
            <w:pPr>
              <w:spacing w:line="240" w:lineRule="auto"/>
              <w:jc w:val="left"/>
              <w:rPr>
                <w:rFonts w:ascii="標楷體" w:eastAsia="標楷體" w:hAnsi="標楷體"/>
                <w:snapToGrid w:val="0"/>
                <w:szCs w:val="24"/>
              </w:rPr>
            </w:pPr>
            <w:r w:rsidRPr="00F51C6C">
              <w:rPr>
                <w:rFonts w:ascii="標楷體" w:eastAsia="標楷體" w:hAnsi="標楷體"/>
                <w:snapToGrid w:val="0"/>
                <w:szCs w:val="24"/>
              </w:rPr>
              <w:lastRenderedPageBreak/>
              <w:t>因前項已就期貨指數標的範圍敘明「可包括：商品、利率等」，</w:t>
            </w:r>
            <w:proofErr w:type="gramStart"/>
            <w:r w:rsidRPr="00F51C6C">
              <w:rPr>
                <w:rFonts w:ascii="標楷體" w:eastAsia="標楷體" w:hAnsi="標楷體"/>
                <w:snapToGrid w:val="0"/>
                <w:szCs w:val="24"/>
              </w:rPr>
              <w:lastRenderedPageBreak/>
              <w:t>爰</w:t>
            </w:r>
            <w:proofErr w:type="gramEnd"/>
            <w:r w:rsidRPr="00F51C6C">
              <w:rPr>
                <w:rFonts w:ascii="標楷體" w:eastAsia="標楷體" w:hAnsi="標楷體"/>
                <w:snapToGrid w:val="0"/>
                <w:szCs w:val="24"/>
              </w:rPr>
              <w:t>刪除</w:t>
            </w:r>
            <w:r w:rsidR="00114F18">
              <w:rPr>
                <w:rFonts w:ascii="標楷體" w:eastAsia="標楷體" w:hAnsi="標楷體" w:hint="eastAsia"/>
                <w:snapToGrid w:val="0"/>
                <w:szCs w:val="24"/>
              </w:rPr>
              <w:t>(例如</w:t>
            </w:r>
            <w:r w:rsidRPr="00F51C6C">
              <w:rPr>
                <w:rFonts w:ascii="標楷體" w:eastAsia="標楷體" w:hAnsi="標楷體"/>
                <w:snapToGrid w:val="0"/>
                <w:szCs w:val="24"/>
              </w:rPr>
              <w:t>：商品、原物料、能源、農產品等</w:t>
            </w:r>
            <w:r w:rsidR="00114F18">
              <w:rPr>
                <w:rFonts w:ascii="標楷體" w:eastAsia="標楷體" w:hAnsi="標楷體" w:hint="eastAsia"/>
                <w:snapToGrid w:val="0"/>
                <w:szCs w:val="24"/>
              </w:rPr>
              <w:t>)</w:t>
            </w:r>
            <w:r w:rsidR="00732FB5">
              <w:rPr>
                <w:rFonts w:ascii="標楷體" w:eastAsia="標楷體" w:hAnsi="標楷體" w:hint="eastAsia"/>
                <w:snapToGrid w:val="0"/>
                <w:szCs w:val="24"/>
              </w:rPr>
              <w:t>等字，</w:t>
            </w:r>
            <w:proofErr w:type="gramStart"/>
            <w:r w:rsidRPr="00F51C6C">
              <w:rPr>
                <w:rFonts w:ascii="標楷體" w:eastAsia="標楷體" w:hAnsi="標楷體"/>
                <w:snapToGrid w:val="0"/>
                <w:szCs w:val="24"/>
              </w:rPr>
              <w:t>並酌修文字</w:t>
            </w:r>
            <w:proofErr w:type="gramEnd"/>
            <w:r w:rsidRPr="00F51C6C">
              <w:rPr>
                <w:rFonts w:ascii="標楷體" w:eastAsia="標楷體" w:hAnsi="標楷體"/>
                <w:snapToGrid w:val="0"/>
                <w:szCs w:val="24"/>
              </w:rPr>
              <w:t>。</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二、</w:t>
            </w:r>
            <w:r w:rsidRPr="00F51C6C">
              <w:rPr>
                <w:rFonts w:ascii="標楷體" w:eastAsia="標楷體" w:hAnsi="標楷體" w:hint="eastAsia"/>
              </w:rPr>
              <w:t>投資期貨ETF受益憑證係基於獨立審慎之判斷後自行決定，並應於投資前明瞭所投資之期貨ETF受益憑證可能有（包括但不限於）國家、利率、流動性、提前解約、匯兌、通貨膨脹、再投資、個別事件、稅賦、信用及連結標的市場影響等風險，</w:t>
            </w:r>
            <w:r w:rsidRPr="00F51C6C">
              <w:rPr>
                <w:rFonts w:ascii="標楷體" w:eastAsia="標楷體" w:hAnsi="標楷體" w:hint="eastAsia"/>
                <w:u w:val="single"/>
              </w:rPr>
              <w:t>造成交易價格與期貨指數間產生正逆價差</w:t>
            </w:r>
            <w:proofErr w:type="gramStart"/>
            <w:r w:rsidRPr="00F51C6C">
              <w:rPr>
                <w:rFonts w:ascii="標楷體" w:eastAsia="標楷體" w:hAnsi="標楷體" w:hint="eastAsia"/>
                <w:u w:val="single"/>
              </w:rPr>
              <w:t>（</w:t>
            </w:r>
            <w:proofErr w:type="gramEnd"/>
            <w:r w:rsidRPr="00F51C6C">
              <w:rPr>
                <w:rFonts w:ascii="標楷體" w:eastAsia="標楷體" w:hAnsi="標楷體" w:hint="eastAsia"/>
                <w:u w:val="single"/>
              </w:rPr>
              <w:t>例如：期貨交易價格大於或小於期貨指數</w:t>
            </w:r>
            <w:proofErr w:type="gramStart"/>
            <w:r w:rsidRPr="00F51C6C">
              <w:rPr>
                <w:rFonts w:ascii="標楷體" w:eastAsia="標楷體" w:hAnsi="標楷體" w:hint="eastAsia"/>
                <w:u w:val="single"/>
              </w:rPr>
              <w:t>）</w:t>
            </w:r>
            <w:proofErr w:type="gramEnd"/>
            <w:r w:rsidRPr="00F51C6C">
              <w:rPr>
                <w:rFonts w:ascii="標楷體" w:eastAsia="標楷體" w:hAnsi="標楷體" w:hint="eastAsia"/>
                <w:u w:val="single"/>
              </w:rPr>
              <w:t>之情況，亦將影響期貨ETF受益憑證之淨資產價值，</w:t>
            </w:r>
            <w:r w:rsidRPr="00F51C6C">
              <w:rPr>
                <w:rFonts w:ascii="標楷體" w:eastAsia="標楷體" w:hAnsi="標楷體" w:hint="eastAsia"/>
              </w:rPr>
              <w:t>證券商對期貨ETF受益憑證不會有任何投資獲利或保本</w:t>
            </w:r>
            <w:proofErr w:type="gramStart"/>
            <w:r w:rsidRPr="00F51C6C">
              <w:rPr>
                <w:rFonts w:ascii="標楷體" w:eastAsia="標楷體" w:hAnsi="標楷體" w:hint="eastAsia"/>
              </w:rPr>
              <w:t>之</w:t>
            </w:r>
            <w:proofErr w:type="gramEnd"/>
            <w:r w:rsidRPr="00F51C6C">
              <w:rPr>
                <w:rFonts w:ascii="標楷體" w:eastAsia="標楷體" w:hAnsi="標楷體" w:hint="eastAsia"/>
              </w:rPr>
              <w:t>保證。</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二、投資期貨ETF受益憑證係基於獨立審慎之判斷後自行決定，並應於投資前明瞭所投資之期貨ETF受益憑證可能有（包括但不限於）國家、利率、流動性、提前解約、匯兌、通貨膨脹、再投資、個別事件、稅賦、信用及連結標的市場影響等風險，證券商對期貨ETF受益憑證不會有任何投資獲利或保本</w:t>
            </w:r>
            <w:proofErr w:type="gramStart"/>
            <w:r w:rsidRPr="00F51C6C">
              <w:rPr>
                <w:rFonts w:ascii="標楷體" w:eastAsia="標楷體" w:hAnsi="標楷體" w:cs="細明體" w:hint="eastAsia"/>
                <w:kern w:val="0"/>
                <w:szCs w:val="24"/>
              </w:rPr>
              <w:t>之</w:t>
            </w:r>
            <w:proofErr w:type="gramEnd"/>
            <w:r w:rsidRPr="00F51C6C">
              <w:rPr>
                <w:rFonts w:ascii="標楷體" w:eastAsia="標楷體" w:hAnsi="標楷體" w:cs="細明體" w:hint="eastAsia"/>
                <w:kern w:val="0"/>
                <w:szCs w:val="24"/>
              </w:rPr>
              <w:t>保證。</w:t>
            </w:r>
          </w:p>
        </w:tc>
        <w:tc>
          <w:tcPr>
            <w:tcW w:w="2524" w:type="dxa"/>
          </w:tcPr>
          <w:p w:rsidR="00F51C6C" w:rsidRPr="00F51C6C" w:rsidRDefault="00F51C6C" w:rsidP="006064A0">
            <w:pPr>
              <w:pStyle w:val="a6"/>
              <w:kinsoku w:val="0"/>
              <w:overflowPunct w:val="0"/>
              <w:autoSpaceDE w:val="0"/>
              <w:autoSpaceDN w:val="0"/>
              <w:adjustRightInd w:val="0"/>
              <w:snapToGrid w:val="0"/>
              <w:spacing w:line="240" w:lineRule="auto"/>
              <w:ind w:firstLine="0"/>
              <w:rPr>
                <w:snapToGrid w:val="0"/>
              </w:rPr>
            </w:pPr>
            <w:r w:rsidRPr="00F51C6C">
              <w:t>增</w:t>
            </w:r>
            <w:r w:rsidRPr="00F51C6C">
              <w:rPr>
                <w:rFonts w:hint="eastAsia"/>
              </w:rPr>
              <w:t>列</w:t>
            </w:r>
            <w:r w:rsidRPr="00F51C6C">
              <w:t>期貨</w:t>
            </w:r>
            <w:r w:rsidRPr="00F51C6C">
              <w:rPr>
                <w:rFonts w:hint="eastAsia"/>
              </w:rPr>
              <w:t>交易正逆</w:t>
            </w:r>
            <w:proofErr w:type="gramStart"/>
            <w:r w:rsidRPr="00F51C6C">
              <w:rPr>
                <w:rFonts w:hint="eastAsia"/>
              </w:rPr>
              <w:t>價差對期貨</w:t>
            </w:r>
            <w:proofErr w:type="gramEnd"/>
            <w:r w:rsidRPr="00F51C6C">
              <w:t>ETF</w:t>
            </w:r>
            <w:r w:rsidRPr="00F51C6C">
              <w:rPr>
                <w:rFonts w:hint="eastAsia"/>
              </w:rPr>
              <w:t>可能造成之風險，</w:t>
            </w:r>
            <w:proofErr w:type="gramStart"/>
            <w:r w:rsidRPr="00F51C6C">
              <w:rPr>
                <w:rFonts w:hint="eastAsia"/>
              </w:rPr>
              <w:t>並酌修</w:t>
            </w:r>
            <w:r w:rsidRPr="00F51C6C">
              <w:t>文字</w:t>
            </w:r>
            <w:proofErr w:type="gramEnd"/>
            <w:r w:rsidRPr="00F51C6C">
              <w:rPr>
                <w:rFonts w:hint="eastAsia"/>
              </w:rPr>
              <w:t>。</w:t>
            </w:r>
          </w:p>
        </w:tc>
      </w:tr>
      <w:tr w:rsidR="00F51C6C" w:rsidRPr="00F51C6C" w:rsidTr="00F51C6C">
        <w:tc>
          <w:tcPr>
            <w:tcW w:w="3044" w:type="dxa"/>
          </w:tcPr>
          <w:p w:rsidR="00F51C6C" w:rsidRPr="00F51C6C" w:rsidRDefault="00F51C6C" w:rsidP="00CF7F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三、期貨ETF</w:t>
            </w:r>
            <w:r w:rsidRPr="00F51C6C">
              <w:rPr>
                <w:rFonts w:ascii="標楷體" w:eastAsia="標楷體" w:hAnsi="標楷體" w:cs="細明體" w:hint="eastAsia"/>
                <w:kern w:val="0"/>
                <w:szCs w:val="24"/>
                <w:u w:val="single"/>
              </w:rPr>
              <w:t>如從事以外幣計價</w:t>
            </w:r>
            <w:r w:rsidRPr="00F51C6C">
              <w:rPr>
                <w:rFonts w:ascii="標楷體" w:eastAsia="標楷體" w:hAnsi="標楷體" w:cs="細明體" w:hint="eastAsia"/>
                <w:kern w:val="0"/>
                <w:szCs w:val="24"/>
              </w:rPr>
              <w:t>之期貨交易，除實際交易產生損益外，尚須負擔匯率風險，且投資標的可能因利率、匯率或其他指標之變動，有直接導致本金損</w:t>
            </w:r>
            <w:r w:rsidRPr="00F51C6C">
              <w:rPr>
                <w:rFonts w:ascii="標楷體" w:eastAsia="標楷體" w:hAnsi="標楷體" w:cs="細明體" w:hint="eastAsia"/>
                <w:kern w:val="0"/>
                <w:szCs w:val="24"/>
              </w:rPr>
              <w:lastRenderedPageBreak/>
              <w:t>失之虞。</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三、期貨ETF所投資之期貨</w:t>
            </w:r>
            <w:r w:rsidRPr="00F51C6C">
              <w:rPr>
                <w:rFonts w:ascii="標楷體" w:eastAsia="標楷體" w:hAnsi="標楷體" w:cs="細明體" w:hint="eastAsia"/>
                <w:kern w:val="0"/>
                <w:szCs w:val="24"/>
                <w:u w:val="single"/>
              </w:rPr>
              <w:t>如以外國貨幣</w:t>
            </w:r>
            <w:r w:rsidRPr="00F51C6C">
              <w:rPr>
                <w:rFonts w:ascii="標楷體" w:eastAsia="標楷體" w:hAnsi="標楷體" w:cs="細明體" w:hint="eastAsia"/>
                <w:kern w:val="0"/>
                <w:szCs w:val="24"/>
              </w:rPr>
              <w:t>交易，除實際交易產生損益外，尚須負擔匯率風險，且投資標的可能因利率、匯率或其他指標之變動，有直接導致本</w:t>
            </w:r>
            <w:r w:rsidRPr="00F51C6C">
              <w:rPr>
                <w:rFonts w:ascii="標楷體" w:eastAsia="標楷體" w:hAnsi="標楷體" w:cs="細明體" w:hint="eastAsia"/>
                <w:kern w:val="0"/>
                <w:szCs w:val="24"/>
              </w:rPr>
              <w:lastRenderedPageBreak/>
              <w:t>金損失之虞。</w:t>
            </w:r>
          </w:p>
        </w:tc>
        <w:tc>
          <w:tcPr>
            <w:tcW w:w="2524" w:type="dxa"/>
          </w:tcPr>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proofErr w:type="gramStart"/>
            <w:r w:rsidRPr="00F51C6C">
              <w:rPr>
                <w:snapToGrid w:val="0"/>
              </w:rPr>
              <w:lastRenderedPageBreak/>
              <w:t>酌修文字</w:t>
            </w:r>
            <w:proofErr w:type="gramEnd"/>
            <w:r w:rsidRPr="00F51C6C">
              <w:rPr>
                <w:snapToGrid w:val="0"/>
              </w:rPr>
              <w:t>。</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四、期貨ETF所</w:t>
            </w:r>
            <w:r w:rsidRPr="00F51C6C">
              <w:rPr>
                <w:rFonts w:ascii="標楷體" w:eastAsia="標楷體" w:hAnsi="標楷體" w:cs="細明體" w:hint="eastAsia"/>
                <w:kern w:val="0"/>
                <w:szCs w:val="24"/>
                <w:u w:val="single"/>
              </w:rPr>
              <w:t>從事</w:t>
            </w:r>
            <w:r w:rsidRPr="00F51C6C">
              <w:rPr>
                <w:rFonts w:ascii="標楷體" w:eastAsia="標楷體" w:hAnsi="標楷體" w:cs="細明體" w:hint="eastAsia"/>
                <w:kern w:val="0"/>
                <w:szCs w:val="24"/>
              </w:rPr>
              <w:t>之期貨</w:t>
            </w:r>
            <w:r w:rsidRPr="00F51C6C">
              <w:rPr>
                <w:rFonts w:ascii="標楷體" w:eastAsia="標楷體" w:hAnsi="標楷體" w:cs="細明體" w:hint="eastAsia"/>
                <w:kern w:val="0"/>
                <w:szCs w:val="24"/>
                <w:u w:val="single"/>
              </w:rPr>
              <w:t>交易</w:t>
            </w:r>
            <w:r w:rsidRPr="00F51C6C">
              <w:rPr>
                <w:rFonts w:ascii="標楷體" w:eastAsia="標楷體" w:hAnsi="標楷體" w:cs="細明體" w:hint="eastAsia"/>
                <w:kern w:val="0"/>
                <w:szCs w:val="24"/>
              </w:rPr>
              <w:t>如無漲跌幅限制，則期貨ETF受益憑證亦無漲跌幅度限制，有可能因價格大幅波動而在短時間內產生極大利潤或極大損失。</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四、期貨ETF所投資之期貨如無漲跌幅限制，則期貨ETF受益憑證亦無漲跌幅度限制，有可能因價格大幅波動而在短時間內產生極大利潤或極大損失。</w:t>
            </w:r>
          </w:p>
        </w:tc>
        <w:tc>
          <w:tcPr>
            <w:tcW w:w="2524" w:type="dxa"/>
          </w:tcPr>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proofErr w:type="gramStart"/>
            <w:r w:rsidRPr="00F51C6C">
              <w:rPr>
                <w:snapToGrid w:val="0"/>
              </w:rPr>
              <w:t>酌修文字</w:t>
            </w:r>
            <w:proofErr w:type="gramEnd"/>
            <w:r w:rsidRPr="00F51C6C">
              <w:rPr>
                <w:snapToGrid w:val="0"/>
              </w:rPr>
              <w:t>。</w:t>
            </w:r>
          </w:p>
        </w:tc>
      </w:tr>
      <w:tr w:rsidR="00F51C6C" w:rsidRPr="00F51C6C" w:rsidTr="00F51C6C">
        <w:tc>
          <w:tcPr>
            <w:tcW w:w="3044" w:type="dxa"/>
          </w:tcPr>
          <w:p w:rsidR="00F51C6C" w:rsidRPr="00F51C6C" w:rsidRDefault="00F51C6C" w:rsidP="00C56A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五、期貨ETF</w:t>
            </w:r>
            <w:r w:rsidRPr="00F51C6C">
              <w:rPr>
                <w:rFonts w:ascii="標楷體" w:eastAsia="標楷體" w:hAnsi="標楷體" w:cs="細明體" w:hint="eastAsia"/>
                <w:kern w:val="0"/>
                <w:szCs w:val="24"/>
                <w:u w:val="single"/>
              </w:rPr>
              <w:t>從事</w:t>
            </w:r>
            <w:r w:rsidRPr="00F51C6C">
              <w:rPr>
                <w:rFonts w:ascii="標楷體" w:eastAsia="標楷體" w:hAnsi="標楷體" w:cs="細明體" w:hint="eastAsia"/>
                <w:kern w:val="0"/>
                <w:szCs w:val="24"/>
              </w:rPr>
              <w:t>國外交易所之期貨</w:t>
            </w:r>
            <w:r w:rsidRPr="00F51C6C">
              <w:rPr>
                <w:rFonts w:ascii="標楷體" w:eastAsia="標楷體" w:hAnsi="標楷體" w:cs="細明體" w:hint="eastAsia"/>
                <w:kern w:val="0"/>
                <w:szCs w:val="24"/>
                <w:u w:val="single"/>
              </w:rPr>
              <w:t>交易</w:t>
            </w:r>
            <w:r w:rsidRPr="00F51C6C">
              <w:rPr>
                <w:rFonts w:ascii="標楷體" w:eastAsia="標楷體" w:hAnsi="標楷體" w:cs="細明體" w:hint="eastAsia"/>
                <w:kern w:val="0"/>
                <w:szCs w:val="24"/>
              </w:rPr>
              <w:t>，期貨ETF發行人依規定於網站所揭露期ETF淨值，可能因時差關係，僅係以該國外交易所最近一營業日之收盤價計算，委託人應瞭解期貨ETF所</w:t>
            </w:r>
            <w:r w:rsidRPr="00F51C6C">
              <w:rPr>
                <w:rFonts w:ascii="標楷體" w:eastAsia="標楷體" w:hAnsi="標楷體" w:cs="細明體" w:hint="eastAsia"/>
                <w:kern w:val="0"/>
                <w:szCs w:val="24"/>
                <w:u w:val="single"/>
              </w:rPr>
              <w:t>交易</w:t>
            </w:r>
            <w:r w:rsidRPr="00F51C6C">
              <w:rPr>
                <w:rFonts w:ascii="標楷體" w:eastAsia="標楷體" w:hAnsi="標楷體" w:cs="細明體" w:hint="eastAsia"/>
                <w:kern w:val="0"/>
                <w:szCs w:val="24"/>
              </w:rPr>
              <w:t>之期貨指數追蹤標的在全球其他市場可能會有更為即時之價格產生，故如僅參考發行人於網站揭露之淨值作為買賣期貨ETF受益憑證之依據，則可能會</w:t>
            </w:r>
            <w:proofErr w:type="gramStart"/>
            <w:r w:rsidRPr="00F51C6C">
              <w:rPr>
                <w:rFonts w:ascii="標楷體" w:eastAsia="標楷體" w:hAnsi="標楷體" w:cs="細明體" w:hint="eastAsia"/>
                <w:kern w:val="0"/>
                <w:szCs w:val="24"/>
              </w:rPr>
              <w:t>產生折溢價</w:t>
            </w:r>
            <w:proofErr w:type="gramEnd"/>
            <w:r w:rsidRPr="00F51C6C">
              <w:rPr>
                <w:rFonts w:ascii="標楷體" w:eastAsia="標楷體" w:hAnsi="標楷體" w:cs="細明體" w:hint="eastAsia"/>
                <w:kern w:val="0"/>
                <w:szCs w:val="24"/>
              </w:rPr>
              <w:t>（即期貨ETF受益憑證成交價格低於或高於淨值）風險。</w:t>
            </w:r>
          </w:p>
        </w:tc>
        <w:tc>
          <w:tcPr>
            <w:tcW w:w="3045" w:type="dxa"/>
          </w:tcPr>
          <w:p w:rsidR="00F51C6C" w:rsidRPr="00F51C6C" w:rsidRDefault="00F51C6C" w:rsidP="00C56A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五、期貨ETF投資標的為國外交易所之期貨，期貨ETF發行人依規定於網站所揭露期貨ETF淨值，可能因時差關係，僅係以該國外交易所最近一營業日之收盤價計算，委託人應瞭解期貨ETF所投資之期貨指數追蹤標的</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u w:val="single"/>
              </w:rPr>
              <w:t>例如：商品、原物料、能源、農產品等</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rPr>
              <w:t>在全球其他市場可能會有更為即時之價格產生，故如僅參考發行人於網站揭露之淨值作為買賣期貨ETF受益憑證之依據，則可能會</w:t>
            </w:r>
            <w:proofErr w:type="gramStart"/>
            <w:r w:rsidRPr="00F51C6C">
              <w:rPr>
                <w:rFonts w:ascii="標楷體" w:eastAsia="標楷體" w:hAnsi="標楷體" w:cs="細明體" w:hint="eastAsia"/>
                <w:kern w:val="0"/>
                <w:szCs w:val="24"/>
              </w:rPr>
              <w:t>產生折溢價</w:t>
            </w:r>
            <w:proofErr w:type="gramEnd"/>
            <w:r w:rsidRPr="00F51C6C">
              <w:rPr>
                <w:rFonts w:ascii="標楷體" w:eastAsia="標楷體" w:hAnsi="標楷體" w:cs="細明體" w:hint="eastAsia"/>
                <w:kern w:val="0"/>
                <w:szCs w:val="24"/>
              </w:rPr>
              <w:t>（即期貨ETF受益憑證成交價格低於或高於淨值）風險。</w:t>
            </w:r>
          </w:p>
        </w:tc>
        <w:tc>
          <w:tcPr>
            <w:tcW w:w="2524" w:type="dxa"/>
          </w:tcPr>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r w:rsidRPr="00F51C6C">
              <w:rPr>
                <w:snapToGrid w:val="0"/>
              </w:rPr>
              <w:t>因前述風險預告事項</w:t>
            </w:r>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r w:rsidRPr="00F51C6C">
              <w:rPr>
                <w:snapToGrid w:val="0"/>
              </w:rPr>
              <w:t>已就期貨指數標的</w:t>
            </w:r>
            <w:proofErr w:type="gramStart"/>
            <w:r w:rsidRPr="00F51C6C">
              <w:rPr>
                <w:snapToGrid w:val="0"/>
              </w:rPr>
              <w:t>範</w:t>
            </w:r>
            <w:proofErr w:type="gramEnd"/>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proofErr w:type="gramStart"/>
            <w:r w:rsidRPr="00F51C6C">
              <w:rPr>
                <w:snapToGrid w:val="0"/>
              </w:rPr>
              <w:t>圍敘明</w:t>
            </w:r>
            <w:proofErr w:type="gramEnd"/>
            <w:r w:rsidRPr="00F51C6C">
              <w:rPr>
                <w:snapToGrid w:val="0"/>
              </w:rPr>
              <w:t>「可包括：商</w:t>
            </w:r>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r w:rsidRPr="00F51C6C">
              <w:rPr>
                <w:snapToGrid w:val="0"/>
              </w:rPr>
              <w:t>品、利率等」，</w:t>
            </w:r>
            <w:proofErr w:type="gramStart"/>
            <w:r w:rsidRPr="00F51C6C">
              <w:rPr>
                <w:snapToGrid w:val="0"/>
              </w:rPr>
              <w:t>爰刪</w:t>
            </w:r>
            <w:proofErr w:type="gramEnd"/>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r w:rsidRPr="00F51C6C">
              <w:rPr>
                <w:snapToGrid w:val="0"/>
              </w:rPr>
              <w:t>除</w:t>
            </w:r>
            <w:r w:rsidR="00C56A52">
              <w:rPr>
                <w:rFonts w:hint="eastAsia"/>
                <w:snapToGrid w:val="0"/>
              </w:rPr>
              <w:t>(例如</w:t>
            </w:r>
            <w:r w:rsidRPr="00F51C6C">
              <w:rPr>
                <w:snapToGrid w:val="0"/>
              </w:rPr>
              <w:t>：商品、原</w:t>
            </w:r>
          </w:p>
          <w:p w:rsidR="00BD3922"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r w:rsidRPr="00F51C6C">
              <w:rPr>
                <w:snapToGrid w:val="0"/>
              </w:rPr>
              <w:t>物料、能源、農產品等</w:t>
            </w:r>
          </w:p>
          <w:p w:rsidR="00F51C6C" w:rsidRPr="00F51C6C" w:rsidRDefault="00C56A52" w:rsidP="004D5794">
            <w:pPr>
              <w:pStyle w:val="a6"/>
              <w:kinsoku w:val="0"/>
              <w:overflowPunct w:val="0"/>
              <w:autoSpaceDE w:val="0"/>
              <w:autoSpaceDN w:val="0"/>
              <w:adjustRightInd w:val="0"/>
              <w:snapToGrid w:val="0"/>
              <w:spacing w:line="240" w:lineRule="auto"/>
              <w:ind w:left="480" w:hangingChars="200" w:hanging="480"/>
              <w:jc w:val="left"/>
              <w:rPr>
                <w:snapToGrid w:val="0"/>
              </w:rPr>
            </w:pPr>
            <w:r>
              <w:rPr>
                <w:rFonts w:hint="eastAsia"/>
                <w:snapToGrid w:val="0"/>
              </w:rPr>
              <w:t>)</w:t>
            </w:r>
            <w:r w:rsidR="0045660B">
              <w:rPr>
                <w:rFonts w:hint="eastAsia"/>
                <w:snapToGrid w:val="0"/>
              </w:rPr>
              <w:t>等字，</w:t>
            </w:r>
            <w:proofErr w:type="gramStart"/>
            <w:r w:rsidR="00F51C6C" w:rsidRPr="00F51C6C">
              <w:rPr>
                <w:snapToGrid w:val="0"/>
              </w:rPr>
              <w:t>並酌修文字</w:t>
            </w:r>
            <w:proofErr w:type="gramEnd"/>
            <w:r w:rsidR="00F51C6C" w:rsidRPr="00F51C6C">
              <w:rPr>
                <w:snapToGrid w:val="0"/>
              </w:rPr>
              <w:t>。</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六、如依市場報價買賣期貨ETF受益憑證，有可能會出現買賣報價數量不足，或買賣報價</w:t>
            </w:r>
            <w:proofErr w:type="gramStart"/>
            <w:r w:rsidRPr="00F51C6C">
              <w:rPr>
                <w:rFonts w:ascii="標楷體" w:eastAsia="標楷體" w:hAnsi="標楷體" w:cs="細明體" w:hint="eastAsia"/>
                <w:kern w:val="0"/>
                <w:szCs w:val="24"/>
              </w:rPr>
              <w:t>價</w:t>
            </w:r>
            <w:proofErr w:type="gramEnd"/>
            <w:r w:rsidRPr="00F51C6C">
              <w:rPr>
                <w:rFonts w:ascii="標楷體" w:eastAsia="標楷體" w:hAnsi="標楷體" w:cs="細明體" w:hint="eastAsia"/>
                <w:kern w:val="0"/>
                <w:szCs w:val="24"/>
              </w:rPr>
              <w:t>差較大之情況，投資前應詳細蒐集期貨ETF受益憑證買賣報價相關資</w:t>
            </w:r>
            <w:r w:rsidRPr="00F51C6C">
              <w:rPr>
                <w:rFonts w:ascii="標楷體" w:eastAsia="標楷體" w:hAnsi="標楷體" w:cs="細明體" w:hint="eastAsia"/>
                <w:kern w:val="0"/>
                <w:szCs w:val="24"/>
              </w:rPr>
              <w:lastRenderedPageBreak/>
              <w:t>訊，並注意流動性風險所可能造成之投資損失。</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六、如依市場報價買賣期貨ETF受益憑證，有可能會出現買賣報價數量不足，或買賣報價</w:t>
            </w:r>
            <w:proofErr w:type="gramStart"/>
            <w:r w:rsidRPr="00F51C6C">
              <w:rPr>
                <w:rFonts w:ascii="標楷體" w:eastAsia="標楷體" w:hAnsi="標楷體" w:cs="細明體" w:hint="eastAsia"/>
                <w:kern w:val="0"/>
                <w:szCs w:val="24"/>
              </w:rPr>
              <w:t>價</w:t>
            </w:r>
            <w:proofErr w:type="gramEnd"/>
            <w:r w:rsidRPr="00F51C6C">
              <w:rPr>
                <w:rFonts w:ascii="標楷體" w:eastAsia="標楷體" w:hAnsi="標楷體" w:cs="細明體" w:hint="eastAsia"/>
                <w:kern w:val="0"/>
                <w:szCs w:val="24"/>
              </w:rPr>
              <w:t>差較大之情況，投資前應詳細蒐集期貨ETF受益憑證買賣報價相關資</w:t>
            </w:r>
            <w:r w:rsidRPr="00F51C6C">
              <w:rPr>
                <w:rFonts w:ascii="標楷體" w:eastAsia="標楷體" w:hAnsi="標楷體" w:cs="細明體" w:hint="eastAsia"/>
                <w:kern w:val="0"/>
                <w:szCs w:val="24"/>
              </w:rPr>
              <w:lastRenderedPageBreak/>
              <w:t>訊，並注意流動性風險所可能造成之投資損失。</w:t>
            </w:r>
          </w:p>
        </w:tc>
        <w:tc>
          <w:tcPr>
            <w:tcW w:w="2524" w:type="dxa"/>
          </w:tcPr>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p>
        </w:tc>
      </w:tr>
      <w:tr w:rsidR="00F51C6C" w:rsidRPr="00F51C6C" w:rsidTr="00F51C6C">
        <w:tc>
          <w:tcPr>
            <w:tcW w:w="3044" w:type="dxa"/>
          </w:tcPr>
          <w:p w:rsidR="00F51C6C" w:rsidRPr="000B2536" w:rsidRDefault="00F51C6C" w:rsidP="00092A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u w:val="single"/>
              </w:rPr>
            </w:pPr>
            <w:r w:rsidRPr="000B2536">
              <w:rPr>
                <w:rFonts w:ascii="標楷體" w:eastAsia="標楷體" w:hAnsi="標楷體" w:cs="Times New Roman" w:hint="eastAsia"/>
                <w:kern w:val="0"/>
                <w:szCs w:val="24"/>
                <w:u w:val="single"/>
              </w:rPr>
              <w:lastRenderedPageBreak/>
              <w:t>七、期貨ETF以追蹤、模擬或複製標的指數之正向倍數或反向倍數表現（下稱槓桿反向型期貨ETF）者，委託人應完全瞭解淨值與其標的</w:t>
            </w:r>
            <w:r w:rsidR="00707247" w:rsidRPr="000B2536">
              <w:rPr>
                <w:rFonts w:ascii="標楷體" w:eastAsia="標楷體" w:hAnsi="標楷體" w:cs="Times New Roman" w:hint="eastAsia"/>
                <w:kern w:val="0"/>
                <w:szCs w:val="24"/>
                <w:u w:val="single"/>
              </w:rPr>
              <w:t>指數</w:t>
            </w:r>
            <w:r w:rsidRPr="000B2536">
              <w:rPr>
                <w:rFonts w:ascii="標楷體" w:eastAsia="標楷體" w:hAnsi="標楷體" w:cs="Times New Roman" w:hint="eastAsia"/>
                <w:kern w:val="0"/>
                <w:szCs w:val="24"/>
                <w:u w:val="single"/>
              </w:rPr>
              <w:t>間之正反向及倍數關係，且僅以追蹤、模擬或複製每日標的指數報酬率正向倍數或反向倍數為目標，而非一段</w:t>
            </w:r>
            <w:proofErr w:type="gramStart"/>
            <w:r w:rsidRPr="000B2536">
              <w:rPr>
                <w:rFonts w:ascii="標楷體" w:eastAsia="標楷體" w:hAnsi="標楷體" w:cs="Times New Roman" w:hint="eastAsia"/>
                <w:kern w:val="0"/>
                <w:szCs w:val="24"/>
                <w:u w:val="single"/>
              </w:rPr>
              <w:t>期間內</w:t>
            </w:r>
            <w:r w:rsidR="008236FA" w:rsidRPr="000B2536">
              <w:rPr>
                <w:rFonts w:ascii="標楷體" w:eastAsia="標楷體" w:hAnsi="標楷體" w:cs="Times New Roman" w:hint="eastAsia"/>
                <w:kern w:val="0"/>
                <w:szCs w:val="24"/>
                <w:u w:val="single"/>
              </w:rPr>
              <w:t>標的</w:t>
            </w:r>
            <w:proofErr w:type="gramEnd"/>
            <w:r w:rsidRPr="000B2536">
              <w:rPr>
                <w:rFonts w:ascii="標楷體" w:eastAsia="標楷體" w:hAnsi="標楷體" w:cs="Times New Roman" w:hint="eastAsia"/>
                <w:kern w:val="0"/>
                <w:szCs w:val="24"/>
                <w:u w:val="single"/>
              </w:rPr>
              <w:t>指數正向倍數或反向倍數之累積報酬率，故不宜以長期持有槓桿</w:t>
            </w:r>
            <w:proofErr w:type="gramStart"/>
            <w:r w:rsidRPr="000B2536">
              <w:rPr>
                <w:rFonts w:ascii="標楷體" w:eastAsia="標楷體" w:hAnsi="標楷體" w:cs="Times New Roman" w:hint="eastAsia"/>
                <w:kern w:val="0"/>
                <w:szCs w:val="24"/>
                <w:u w:val="single"/>
              </w:rPr>
              <w:t>反向型</w:t>
            </w:r>
            <w:proofErr w:type="gramEnd"/>
            <w:r w:rsidRPr="000B2536">
              <w:rPr>
                <w:rFonts w:ascii="標楷體" w:eastAsia="標楷體" w:hAnsi="標楷體" w:cs="Times New Roman" w:hint="eastAsia"/>
                <w:kern w:val="0"/>
                <w:szCs w:val="24"/>
                <w:u w:val="single"/>
              </w:rPr>
              <w:t>期貨ETF受益憑證之方式獲取累積報酬率。</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p>
        </w:tc>
        <w:tc>
          <w:tcPr>
            <w:tcW w:w="2524" w:type="dxa"/>
          </w:tcPr>
          <w:p w:rsidR="00F51C6C" w:rsidRPr="00C56A52" w:rsidRDefault="00F51C6C" w:rsidP="00C56A52">
            <w:pPr>
              <w:pStyle w:val="ad"/>
              <w:numPr>
                <w:ilvl w:val="0"/>
                <w:numId w:val="15"/>
              </w:numPr>
              <w:ind w:leftChars="0"/>
              <w:rPr>
                <w:rFonts w:ascii="標楷體" w:eastAsia="標楷體" w:hAnsi="標楷體"/>
              </w:rPr>
            </w:pPr>
            <w:r w:rsidRPr="00C56A52">
              <w:rPr>
                <w:rFonts w:ascii="標楷體" w:eastAsia="標楷體" w:hAnsi="標楷體" w:hint="eastAsia"/>
                <w:kern w:val="0"/>
              </w:rPr>
              <w:t>本點</w:t>
            </w:r>
            <w:r w:rsidRPr="00C56A52">
              <w:rPr>
                <w:rFonts w:ascii="標楷體" w:eastAsia="標楷體" w:hAnsi="標楷體"/>
                <w:kern w:val="0"/>
              </w:rPr>
              <w:t>新增</w:t>
            </w:r>
            <w:r w:rsidRPr="00C56A52">
              <w:rPr>
                <w:rFonts w:ascii="標楷體" w:eastAsia="標楷體" w:hAnsi="標楷體" w:hint="eastAsia"/>
                <w:kern w:val="0"/>
              </w:rPr>
              <w:t>。</w:t>
            </w:r>
          </w:p>
          <w:p w:rsidR="00F51C6C" w:rsidRPr="00C56A52" w:rsidRDefault="00F51C6C" w:rsidP="00CC39B4">
            <w:pPr>
              <w:pStyle w:val="ad"/>
              <w:numPr>
                <w:ilvl w:val="0"/>
                <w:numId w:val="15"/>
              </w:numPr>
              <w:ind w:leftChars="0"/>
              <w:rPr>
                <w:rFonts w:ascii="標楷體" w:eastAsia="標楷體" w:hAnsi="標楷體"/>
                <w:snapToGrid w:val="0"/>
              </w:rPr>
            </w:pPr>
            <w:r w:rsidRPr="00C56A52">
              <w:rPr>
                <w:rFonts w:ascii="標楷體" w:eastAsia="標楷體" w:hAnsi="標楷體" w:hint="eastAsia"/>
                <w:kern w:val="0"/>
              </w:rPr>
              <w:t>配合期貨信託基金管理辦法第十條之四規定</w:t>
            </w:r>
            <w:r w:rsidR="00B31139">
              <w:rPr>
                <w:rFonts w:ascii="標楷體" w:eastAsia="標楷體" w:hAnsi="標楷體" w:hint="eastAsia"/>
                <w:kern w:val="0"/>
              </w:rPr>
              <w:t>之</w:t>
            </w:r>
            <w:r w:rsidR="00B31139" w:rsidRPr="00C56A52">
              <w:rPr>
                <w:rFonts w:ascii="標楷體" w:eastAsia="標楷體" w:hAnsi="標楷體" w:hint="eastAsia"/>
                <w:kern w:val="0"/>
              </w:rPr>
              <w:t>修正</w:t>
            </w:r>
            <w:r w:rsidRPr="00C56A52">
              <w:rPr>
                <w:rFonts w:ascii="標楷體" w:eastAsia="標楷體" w:hAnsi="標楷體" w:hint="eastAsia"/>
                <w:kern w:val="0"/>
              </w:rPr>
              <w:t>，</w:t>
            </w:r>
            <w:r w:rsidR="00B31139">
              <w:rPr>
                <w:rFonts w:ascii="標楷體" w:eastAsia="標楷體" w:hAnsi="標楷體" w:hint="eastAsia"/>
                <w:kern w:val="0"/>
              </w:rPr>
              <w:t>爰</w:t>
            </w:r>
            <w:r w:rsidRPr="00C56A52">
              <w:rPr>
                <w:rFonts w:ascii="標楷體" w:eastAsia="標楷體" w:hAnsi="標楷體" w:hint="eastAsia"/>
                <w:kern w:val="0"/>
              </w:rPr>
              <w:t>增列槓桿反向型期貨ETF為追蹤、模擬或複製每日標的指數報酬率，並非累積報酬率，不宜長期持有等警語，以提醒投資人審慎投資。</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u w:val="single"/>
              </w:rPr>
            </w:pPr>
            <w:r w:rsidRPr="00F51C6C">
              <w:rPr>
                <w:rFonts w:ascii="標楷體" w:eastAsia="標楷體" w:hAnsi="標楷體" w:cs="Times New Roman" w:hint="eastAsia"/>
                <w:kern w:val="0"/>
                <w:szCs w:val="24"/>
                <w:u w:val="single"/>
              </w:rPr>
              <w:t>八、槓桿</w:t>
            </w:r>
            <w:proofErr w:type="gramStart"/>
            <w:r w:rsidRPr="00F51C6C">
              <w:rPr>
                <w:rFonts w:ascii="標楷體" w:eastAsia="標楷體" w:hAnsi="標楷體" w:cs="Times New Roman" w:hint="eastAsia"/>
                <w:kern w:val="0"/>
                <w:szCs w:val="24"/>
                <w:u w:val="single"/>
              </w:rPr>
              <w:t>反向型</w:t>
            </w:r>
            <w:proofErr w:type="gramEnd"/>
            <w:r w:rsidRPr="00F51C6C">
              <w:rPr>
                <w:rFonts w:ascii="標楷體" w:eastAsia="標楷體" w:hAnsi="標楷體" w:cs="Times New Roman" w:hint="eastAsia"/>
                <w:kern w:val="0"/>
                <w:szCs w:val="24"/>
                <w:u w:val="single"/>
              </w:rPr>
              <w:t>期貨ETF</w:t>
            </w:r>
            <w:r w:rsidRPr="00F51C6C">
              <w:rPr>
                <w:rFonts w:ascii="標楷體" w:eastAsia="標楷體" w:hAnsi="標楷體" w:cs="Times New Roman"/>
                <w:kern w:val="0"/>
                <w:szCs w:val="24"/>
                <w:u w:val="single"/>
              </w:rPr>
              <w:t>受益憑證</w:t>
            </w:r>
            <w:r w:rsidRPr="00F51C6C">
              <w:rPr>
                <w:rFonts w:ascii="標楷體" w:eastAsia="標楷體" w:hAnsi="標楷體" w:cs="Times New Roman" w:hint="eastAsia"/>
                <w:kern w:val="0"/>
                <w:szCs w:val="24"/>
                <w:u w:val="single"/>
              </w:rPr>
              <w:t>具槓桿特性，倘委託人從事具槓桿效果之融資融券交易，當價格走勢符合預期時，可獲取更高之報酬；</w:t>
            </w:r>
            <w:proofErr w:type="gramStart"/>
            <w:r w:rsidRPr="00F51C6C">
              <w:rPr>
                <w:rFonts w:ascii="標楷體" w:eastAsia="標楷體" w:hAnsi="標楷體" w:cs="Times New Roman" w:hint="eastAsia"/>
                <w:kern w:val="0"/>
                <w:szCs w:val="24"/>
                <w:u w:val="single"/>
              </w:rPr>
              <w:t>反之，</w:t>
            </w:r>
            <w:proofErr w:type="gramEnd"/>
            <w:r w:rsidRPr="00F51C6C">
              <w:rPr>
                <w:rFonts w:ascii="標楷體" w:eastAsia="標楷體" w:hAnsi="標楷體" w:cs="Times New Roman" w:hint="eastAsia"/>
                <w:kern w:val="0"/>
                <w:szCs w:val="24"/>
                <w:u w:val="single"/>
              </w:rPr>
              <w:t>將產生更大之損失，同時可能因擔保維持率下跌而面臨授信機構追繳處分。</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p>
        </w:tc>
        <w:tc>
          <w:tcPr>
            <w:tcW w:w="2524" w:type="dxa"/>
          </w:tcPr>
          <w:p w:rsidR="00F51C6C" w:rsidRPr="00B31139" w:rsidRDefault="00F51C6C" w:rsidP="00B31139">
            <w:pPr>
              <w:pStyle w:val="ad"/>
              <w:numPr>
                <w:ilvl w:val="0"/>
                <w:numId w:val="17"/>
              </w:numPr>
              <w:ind w:leftChars="0"/>
              <w:rPr>
                <w:rFonts w:ascii="標楷體" w:eastAsia="標楷體" w:hAnsi="標楷體"/>
                <w:kern w:val="0"/>
              </w:rPr>
            </w:pPr>
            <w:r w:rsidRPr="00B31139">
              <w:rPr>
                <w:rFonts w:ascii="標楷體" w:eastAsia="標楷體" w:hAnsi="標楷體" w:hint="eastAsia"/>
                <w:kern w:val="0"/>
              </w:rPr>
              <w:t>本點</w:t>
            </w:r>
            <w:r w:rsidRPr="00B31139">
              <w:rPr>
                <w:rFonts w:ascii="標楷體" w:eastAsia="標楷體" w:hAnsi="標楷體"/>
                <w:kern w:val="0"/>
              </w:rPr>
              <w:t>新增</w:t>
            </w:r>
            <w:r w:rsidRPr="00B31139">
              <w:rPr>
                <w:rFonts w:ascii="標楷體" w:eastAsia="標楷體" w:hAnsi="標楷體" w:hint="eastAsia"/>
                <w:kern w:val="0"/>
              </w:rPr>
              <w:t>。</w:t>
            </w:r>
          </w:p>
          <w:p w:rsidR="00F51C6C" w:rsidRPr="00B31139" w:rsidRDefault="00F51C6C" w:rsidP="00B31139">
            <w:pPr>
              <w:pStyle w:val="ad"/>
              <w:numPr>
                <w:ilvl w:val="0"/>
                <w:numId w:val="17"/>
              </w:numPr>
              <w:ind w:leftChars="0"/>
              <w:rPr>
                <w:rFonts w:ascii="標楷體" w:eastAsia="標楷體" w:hAnsi="標楷體"/>
                <w:kern w:val="0"/>
              </w:rPr>
            </w:pPr>
            <w:r w:rsidRPr="00B31139">
              <w:rPr>
                <w:rFonts w:ascii="標楷體" w:eastAsia="標楷體" w:hAnsi="標楷體" w:hint="eastAsia"/>
              </w:rPr>
              <w:t>配合期貨信託基金管理辦法第十條之四規定</w:t>
            </w:r>
            <w:r w:rsidR="00B31139">
              <w:rPr>
                <w:rFonts w:ascii="標楷體" w:eastAsia="標楷體" w:hAnsi="標楷體" w:hint="eastAsia"/>
              </w:rPr>
              <w:t>之</w:t>
            </w:r>
            <w:r w:rsidR="00B31139" w:rsidRPr="00B31139">
              <w:rPr>
                <w:rFonts w:ascii="標楷體" w:eastAsia="標楷體" w:hAnsi="標楷體" w:hint="eastAsia"/>
              </w:rPr>
              <w:t>修正</w:t>
            </w:r>
            <w:r w:rsidRPr="00B31139">
              <w:rPr>
                <w:rFonts w:ascii="標楷體" w:eastAsia="標楷體" w:hAnsi="標楷體" w:hint="eastAsia"/>
              </w:rPr>
              <w:t>，</w:t>
            </w:r>
            <w:proofErr w:type="gramStart"/>
            <w:r w:rsidR="00B31139">
              <w:rPr>
                <w:rFonts w:ascii="標楷體" w:eastAsia="標楷體" w:hAnsi="標楷體" w:hint="eastAsia"/>
              </w:rPr>
              <w:t>爰</w:t>
            </w:r>
            <w:proofErr w:type="gramEnd"/>
            <w:r w:rsidRPr="00B31139">
              <w:rPr>
                <w:rFonts w:ascii="標楷體" w:eastAsia="標楷體" w:hAnsi="標楷體" w:hint="eastAsia"/>
              </w:rPr>
              <w:t>增列投資人倘以具槓桿效果之融資融券交易方式，買賣具槓桿特性之</w:t>
            </w:r>
            <w:r w:rsidRPr="00B31139">
              <w:rPr>
                <w:rFonts w:ascii="標楷體" w:eastAsia="標楷體" w:hAnsi="標楷體"/>
              </w:rPr>
              <w:t>槓桿</w:t>
            </w:r>
            <w:proofErr w:type="gramStart"/>
            <w:r w:rsidRPr="00B31139">
              <w:rPr>
                <w:rFonts w:ascii="標楷體" w:eastAsia="標楷體" w:hAnsi="標楷體"/>
              </w:rPr>
              <w:t>反向</w:t>
            </w:r>
            <w:r w:rsidRPr="00B31139">
              <w:rPr>
                <w:rFonts w:ascii="標楷體" w:eastAsia="標楷體" w:hAnsi="標楷體" w:hint="eastAsia"/>
              </w:rPr>
              <w:t>型</w:t>
            </w:r>
            <w:proofErr w:type="gramEnd"/>
            <w:r w:rsidRPr="00B31139">
              <w:rPr>
                <w:rFonts w:ascii="標楷體" w:eastAsia="標楷體" w:hAnsi="標楷體" w:hint="eastAsia"/>
              </w:rPr>
              <w:t>期貨</w:t>
            </w:r>
            <w:r w:rsidRPr="00B31139">
              <w:rPr>
                <w:rFonts w:ascii="標楷體" w:eastAsia="標楷體" w:hAnsi="標楷體"/>
              </w:rPr>
              <w:t>ETF</w:t>
            </w:r>
            <w:r w:rsidRPr="00B31139">
              <w:rPr>
                <w:rFonts w:ascii="標楷體" w:eastAsia="標楷體" w:hAnsi="標楷體" w:hint="eastAsia"/>
              </w:rPr>
              <w:t>，將使投資之波動度加大，投資人有可能會面臨追繳之警語，以提醒投資人注意</w:t>
            </w:r>
            <w:r w:rsidRPr="00B31139">
              <w:rPr>
                <w:rFonts w:ascii="標楷體" w:eastAsia="標楷體" w:hAnsi="標楷體"/>
              </w:rPr>
              <w:t>。</w:t>
            </w:r>
          </w:p>
        </w:tc>
      </w:tr>
      <w:tr w:rsidR="00F51C6C" w:rsidRPr="00F51C6C" w:rsidTr="00F51C6C">
        <w:tc>
          <w:tcPr>
            <w:tcW w:w="3044"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rPr>
              <w:lastRenderedPageBreak/>
              <w:t>交易外幣買賣之指數股票型基金受益憑證及加掛</w:t>
            </w:r>
            <w:r w:rsidRPr="00F51C6C">
              <w:rPr>
                <w:rFonts w:ascii="標楷體" w:eastAsia="標楷體" w:hAnsi="標楷體" w:hint="eastAsia"/>
              </w:rPr>
              <w:t>ETF</w:t>
            </w:r>
            <w:r w:rsidRPr="00F51C6C">
              <w:rPr>
                <w:rFonts w:ascii="標楷體" w:eastAsia="標楷體" w:hAnsi="標楷體"/>
              </w:rPr>
              <w:t>受益憑證</w:t>
            </w:r>
          </w:p>
        </w:tc>
        <w:tc>
          <w:tcPr>
            <w:tcW w:w="3045"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rPr>
              <w:t>交易外幣買賣之指數股票型基金受益憑證及加掛</w:t>
            </w:r>
            <w:r w:rsidRPr="00F51C6C">
              <w:rPr>
                <w:rFonts w:ascii="標楷體" w:eastAsia="標楷體" w:hAnsi="標楷體" w:hint="eastAsia"/>
              </w:rPr>
              <w:t>ETF</w:t>
            </w:r>
            <w:r w:rsidRPr="00F51C6C">
              <w:rPr>
                <w:rFonts w:ascii="標楷體" w:eastAsia="標楷體" w:hAnsi="標楷體"/>
              </w:rPr>
              <w:t>受益憑證</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u w:val="single"/>
              </w:rPr>
              <w:t>委託</w:t>
            </w:r>
            <w:r w:rsidRPr="00F51C6C">
              <w:rPr>
                <w:rFonts w:ascii="標楷體" w:eastAsia="標楷體" w:hAnsi="標楷體" w:hint="eastAsia"/>
              </w:rPr>
              <w:t>人交易外幣買賣之指數股票型基金受益憑證（下稱外幣買賣</w:t>
            </w:r>
            <w:r w:rsidRPr="00F51C6C">
              <w:rPr>
                <w:rFonts w:ascii="標楷體" w:eastAsia="標楷體" w:hAnsi="標楷體"/>
              </w:rPr>
              <w:t>ETF）</w:t>
            </w:r>
            <w:r w:rsidRPr="00F51C6C">
              <w:rPr>
                <w:rFonts w:ascii="標楷體" w:eastAsia="標楷體" w:hAnsi="標楷體" w:hint="eastAsia"/>
              </w:rPr>
              <w:t>或加掛</w:t>
            </w:r>
            <w:r w:rsidRPr="00F51C6C">
              <w:rPr>
                <w:rFonts w:ascii="標楷體" w:eastAsia="標楷體" w:hAnsi="標楷體"/>
              </w:rPr>
              <w:t>ETF受益憑證</w:t>
            </w:r>
            <w:r w:rsidRPr="00F51C6C">
              <w:rPr>
                <w:rFonts w:ascii="標楷體" w:eastAsia="標楷體" w:hAnsi="標楷體" w:hint="eastAsia"/>
              </w:rPr>
              <w:t>（下稱加掛ETF）</w:t>
            </w:r>
            <w:r w:rsidRPr="00F51C6C">
              <w:rPr>
                <w:rFonts w:ascii="標楷體" w:eastAsia="標楷體" w:hAnsi="標楷體"/>
              </w:rPr>
              <w:t>可能產生利潤</w:t>
            </w:r>
            <w:r w:rsidRPr="00F51C6C">
              <w:rPr>
                <w:rFonts w:ascii="標楷體" w:eastAsia="標楷體" w:hAnsi="標楷體" w:hint="eastAsia"/>
              </w:rPr>
              <w:t>或</w:t>
            </w:r>
            <w:r w:rsidRPr="00F51C6C">
              <w:rPr>
                <w:rFonts w:ascii="標楷體" w:eastAsia="標楷體" w:hAnsi="標楷體"/>
              </w:rPr>
              <w:t>損失</w:t>
            </w:r>
            <w:r w:rsidRPr="00F51C6C">
              <w:rPr>
                <w:rFonts w:ascii="標楷體" w:eastAsia="標楷體" w:hAnsi="標楷體" w:hint="eastAsia"/>
              </w:rPr>
              <w:t>，</w:t>
            </w:r>
            <w:r w:rsidRPr="00F51C6C">
              <w:rPr>
                <w:rFonts w:ascii="標楷體" w:eastAsia="標楷體" w:hAnsi="標楷體"/>
              </w:rPr>
              <w:t>於開戶前應審慎考慮</w:t>
            </w:r>
            <w:r w:rsidRPr="00F51C6C">
              <w:rPr>
                <w:rFonts w:ascii="標楷體" w:eastAsia="標楷體" w:hAnsi="標楷體" w:hint="eastAsia"/>
              </w:rPr>
              <w:t>自</w:t>
            </w:r>
            <w:r w:rsidRPr="00F51C6C">
              <w:rPr>
                <w:rFonts w:ascii="標楷體" w:eastAsia="標楷體" w:hAnsi="標楷體"/>
              </w:rPr>
              <w:t>身</w:t>
            </w:r>
            <w:r w:rsidRPr="00F51C6C">
              <w:rPr>
                <w:rFonts w:ascii="標楷體" w:eastAsia="標楷體" w:hAnsi="標楷體" w:hint="eastAsia"/>
              </w:rPr>
              <w:t>之</w:t>
            </w:r>
            <w:r w:rsidRPr="00F51C6C">
              <w:rPr>
                <w:rFonts w:ascii="標楷體" w:eastAsia="標楷體" w:hAnsi="標楷體"/>
              </w:rPr>
              <w:t>財務能力及經濟狀況是否適合</w:t>
            </w:r>
            <w:r w:rsidRPr="00F51C6C">
              <w:rPr>
                <w:rFonts w:ascii="標楷體" w:eastAsia="標楷體" w:hAnsi="標楷體" w:hint="eastAsia"/>
              </w:rPr>
              <w:t>買賣此</w:t>
            </w:r>
            <w:r w:rsidRPr="00F51C6C">
              <w:rPr>
                <w:rFonts w:ascii="標楷體" w:eastAsia="標楷體" w:hAnsi="標楷體"/>
              </w:rPr>
              <w:t>種</w:t>
            </w:r>
            <w:r w:rsidRPr="00F51C6C">
              <w:rPr>
                <w:rFonts w:ascii="標楷體" w:eastAsia="標楷體" w:hAnsi="標楷體" w:hint="eastAsia"/>
              </w:rPr>
              <w:t>商品</w:t>
            </w:r>
            <w:r w:rsidRPr="00F51C6C">
              <w:rPr>
                <w:rFonts w:ascii="標楷體" w:eastAsia="標楷體" w:hAnsi="標楷體"/>
              </w:rPr>
              <w:t>。在</w:t>
            </w:r>
            <w:r w:rsidRPr="00F51C6C">
              <w:rPr>
                <w:rFonts w:ascii="標楷體" w:eastAsia="標楷體" w:hAnsi="標楷體" w:hint="eastAsia"/>
              </w:rPr>
              <w:t>決定從事</w:t>
            </w:r>
            <w:r w:rsidRPr="00F51C6C">
              <w:rPr>
                <w:rFonts w:ascii="標楷體" w:eastAsia="標楷體" w:hAnsi="標楷體"/>
              </w:rPr>
              <w:t>交易前，委託人應瞭解投資可能產生之潛在風險，並應知悉下列各項事宜，以保護權益：</w:t>
            </w:r>
          </w:p>
        </w:tc>
        <w:tc>
          <w:tcPr>
            <w:tcW w:w="3045"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投資人交易外幣買賣之指數股票型基金受益憑證（下稱外幣買賣</w:t>
            </w:r>
            <w:r w:rsidRPr="00F51C6C">
              <w:rPr>
                <w:rFonts w:ascii="標楷體" w:eastAsia="標楷體" w:hAnsi="標楷體"/>
              </w:rPr>
              <w:t>ETF）</w:t>
            </w:r>
            <w:r w:rsidRPr="00F51C6C">
              <w:rPr>
                <w:rFonts w:ascii="標楷體" w:eastAsia="標楷體" w:hAnsi="標楷體" w:hint="eastAsia"/>
              </w:rPr>
              <w:t>或加掛</w:t>
            </w:r>
            <w:r w:rsidRPr="00F51C6C">
              <w:rPr>
                <w:rFonts w:ascii="標楷體" w:eastAsia="標楷體" w:hAnsi="標楷體"/>
              </w:rPr>
              <w:t>ETF受益憑證</w:t>
            </w:r>
            <w:r w:rsidRPr="00F51C6C">
              <w:rPr>
                <w:rFonts w:ascii="標楷體" w:eastAsia="標楷體" w:hAnsi="標楷體" w:hint="eastAsia"/>
              </w:rPr>
              <w:t>（下稱加掛ETF）</w:t>
            </w:r>
            <w:r w:rsidRPr="00F51C6C">
              <w:rPr>
                <w:rFonts w:ascii="標楷體" w:eastAsia="標楷體" w:hAnsi="標楷體"/>
              </w:rPr>
              <w:t>可能產生利潤</w:t>
            </w:r>
            <w:r w:rsidRPr="00F51C6C">
              <w:rPr>
                <w:rFonts w:ascii="標楷體" w:eastAsia="標楷體" w:hAnsi="標楷體" w:hint="eastAsia"/>
              </w:rPr>
              <w:t>或</w:t>
            </w:r>
            <w:r w:rsidRPr="00F51C6C">
              <w:rPr>
                <w:rFonts w:ascii="標楷體" w:eastAsia="標楷體" w:hAnsi="標楷體"/>
              </w:rPr>
              <w:t>損失</w:t>
            </w:r>
            <w:r w:rsidRPr="00F51C6C">
              <w:rPr>
                <w:rFonts w:ascii="標楷體" w:eastAsia="標楷體" w:hAnsi="標楷體" w:hint="eastAsia"/>
              </w:rPr>
              <w:t>，</w:t>
            </w:r>
            <w:r w:rsidRPr="00F51C6C">
              <w:rPr>
                <w:rFonts w:ascii="標楷體" w:eastAsia="標楷體" w:hAnsi="標楷體"/>
              </w:rPr>
              <w:t>於開戶前應審慎考慮</w:t>
            </w:r>
            <w:r w:rsidRPr="00F51C6C">
              <w:rPr>
                <w:rFonts w:ascii="標楷體" w:eastAsia="標楷體" w:hAnsi="標楷體" w:hint="eastAsia"/>
              </w:rPr>
              <w:t>自</w:t>
            </w:r>
            <w:r w:rsidRPr="00F51C6C">
              <w:rPr>
                <w:rFonts w:ascii="標楷體" w:eastAsia="標楷體" w:hAnsi="標楷體"/>
              </w:rPr>
              <w:t>身</w:t>
            </w:r>
            <w:r w:rsidRPr="00F51C6C">
              <w:rPr>
                <w:rFonts w:ascii="標楷體" w:eastAsia="標楷體" w:hAnsi="標楷體" w:hint="eastAsia"/>
              </w:rPr>
              <w:t>之</w:t>
            </w:r>
            <w:r w:rsidRPr="00F51C6C">
              <w:rPr>
                <w:rFonts w:ascii="標楷體" w:eastAsia="標楷體" w:hAnsi="標楷體"/>
              </w:rPr>
              <w:t>財務能力及經濟狀況是否適合</w:t>
            </w:r>
            <w:r w:rsidRPr="00F51C6C">
              <w:rPr>
                <w:rFonts w:ascii="標楷體" w:eastAsia="標楷體" w:hAnsi="標楷體" w:hint="eastAsia"/>
              </w:rPr>
              <w:t>買賣此</w:t>
            </w:r>
            <w:r w:rsidRPr="00F51C6C">
              <w:rPr>
                <w:rFonts w:ascii="標楷體" w:eastAsia="標楷體" w:hAnsi="標楷體"/>
              </w:rPr>
              <w:t>種</w:t>
            </w:r>
            <w:r w:rsidRPr="00F51C6C">
              <w:rPr>
                <w:rFonts w:ascii="標楷體" w:eastAsia="標楷體" w:hAnsi="標楷體" w:hint="eastAsia"/>
              </w:rPr>
              <w:t>商品</w:t>
            </w:r>
            <w:r w:rsidRPr="00F51C6C">
              <w:rPr>
                <w:rFonts w:ascii="標楷體" w:eastAsia="標楷體" w:hAnsi="標楷體"/>
              </w:rPr>
              <w:t>。在</w:t>
            </w:r>
            <w:r w:rsidRPr="00F51C6C">
              <w:rPr>
                <w:rFonts w:ascii="標楷體" w:eastAsia="標楷體" w:hAnsi="標楷體" w:hint="eastAsia"/>
              </w:rPr>
              <w:t>決定從事</w:t>
            </w:r>
            <w:r w:rsidRPr="00F51C6C">
              <w:rPr>
                <w:rFonts w:ascii="標楷體" w:eastAsia="標楷體" w:hAnsi="標楷體"/>
              </w:rPr>
              <w:t>交易前，委託人應瞭解投資可能產生之潛在風險，並應知悉下列各項事宜，以保護權益：</w:t>
            </w:r>
          </w:p>
        </w:tc>
        <w:tc>
          <w:tcPr>
            <w:tcW w:w="2524" w:type="dxa"/>
          </w:tcPr>
          <w:p w:rsidR="00F51C6C" w:rsidRPr="00F51C6C" w:rsidRDefault="00F51C6C" w:rsidP="004D5794">
            <w:pPr>
              <w:spacing w:line="240" w:lineRule="auto"/>
              <w:jc w:val="left"/>
              <w:rPr>
                <w:rFonts w:ascii="標楷體" w:eastAsia="標楷體" w:hAnsi="標楷體"/>
                <w:snapToGrid w:val="0"/>
              </w:rPr>
            </w:pPr>
            <w:proofErr w:type="gramStart"/>
            <w:r w:rsidRPr="00F51C6C">
              <w:rPr>
                <w:rFonts w:ascii="標楷體" w:eastAsia="標楷體" w:hAnsi="標楷體"/>
                <w:snapToGrid w:val="0"/>
              </w:rPr>
              <w:t>酌修文字</w:t>
            </w:r>
            <w:proofErr w:type="gramEnd"/>
            <w:r w:rsidRPr="00F51C6C">
              <w:rPr>
                <w:rFonts w:ascii="標楷體" w:eastAsia="標楷體" w:hAnsi="標楷體"/>
                <w:snapToGrid w:val="0"/>
              </w:rPr>
              <w:t>。</w:t>
            </w: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一、交易外幣買賣</w:t>
            </w:r>
            <w:r w:rsidRPr="00F51C6C">
              <w:rPr>
                <w:rFonts w:ascii="標楷體" w:eastAsia="標楷體" w:hAnsi="標楷體"/>
              </w:rPr>
              <w:t>ETF</w:t>
            </w:r>
            <w:r w:rsidRPr="00F51C6C">
              <w:rPr>
                <w:rFonts w:ascii="標楷體" w:eastAsia="標楷體" w:hAnsi="標楷體" w:hint="eastAsia"/>
              </w:rPr>
              <w:t>，除了實際交易產生損益外，委託人應完全瞭解外幣買賣</w:t>
            </w:r>
            <w:r w:rsidRPr="00F51C6C">
              <w:rPr>
                <w:rFonts w:ascii="標楷體" w:eastAsia="標楷體" w:hAnsi="標楷體"/>
              </w:rPr>
              <w:t>ETF</w:t>
            </w:r>
            <w:r w:rsidRPr="00F51C6C">
              <w:rPr>
                <w:rFonts w:ascii="標楷體" w:eastAsia="標楷體" w:hAnsi="標楷體" w:hint="eastAsia"/>
              </w:rPr>
              <w:t>係以外幣買賣，尚須負擔匯率風險。</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一、交易外幣買賣</w:t>
            </w:r>
            <w:r w:rsidRPr="00F51C6C">
              <w:rPr>
                <w:rFonts w:ascii="標楷體" w:eastAsia="標楷體" w:hAnsi="標楷體"/>
              </w:rPr>
              <w:t>ETF</w:t>
            </w:r>
            <w:r w:rsidRPr="00F51C6C">
              <w:rPr>
                <w:rFonts w:ascii="標楷體" w:eastAsia="標楷體" w:hAnsi="標楷體" w:hint="eastAsia"/>
              </w:rPr>
              <w:t>，除了實際交易產生損益外，委託人應完全瞭解外幣買賣</w:t>
            </w:r>
            <w:r w:rsidRPr="00F51C6C">
              <w:rPr>
                <w:rFonts w:ascii="標楷體" w:eastAsia="標楷體" w:hAnsi="標楷體"/>
              </w:rPr>
              <w:t>ETF</w:t>
            </w:r>
            <w:r w:rsidRPr="00F51C6C">
              <w:rPr>
                <w:rFonts w:ascii="標楷體" w:eastAsia="標楷體" w:hAnsi="標楷體" w:hint="eastAsia"/>
              </w:rPr>
              <w:t>係以外幣買賣，尚須負擔匯率風險。</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二、交易外幣買賣</w:t>
            </w:r>
            <w:r w:rsidRPr="00F51C6C">
              <w:rPr>
                <w:rFonts w:ascii="標楷體" w:eastAsia="標楷體" w:hAnsi="標楷體"/>
              </w:rPr>
              <w:t>ETF或加掛ETF，若係以人民幣買賣，委託人應完全</w:t>
            </w:r>
            <w:r w:rsidRPr="00F51C6C">
              <w:rPr>
                <w:rFonts w:ascii="標楷體" w:eastAsia="標楷體" w:hAnsi="標楷體" w:hint="eastAsia"/>
              </w:rPr>
              <w:t>瞭解自然人每日換</w:t>
            </w:r>
            <w:proofErr w:type="gramStart"/>
            <w:r w:rsidRPr="00F51C6C">
              <w:rPr>
                <w:rFonts w:ascii="標楷體" w:eastAsia="標楷體" w:hAnsi="標楷體" w:hint="eastAsia"/>
              </w:rPr>
              <w:t>匯</w:t>
            </w:r>
            <w:proofErr w:type="gramEnd"/>
            <w:r w:rsidRPr="00F51C6C">
              <w:rPr>
                <w:rFonts w:ascii="標楷體" w:eastAsia="標楷體" w:hAnsi="標楷體" w:hint="eastAsia"/>
              </w:rPr>
              <w:t>人民幣限額為二萬元。</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二、交易外幣買賣</w:t>
            </w:r>
            <w:r w:rsidRPr="00F51C6C">
              <w:rPr>
                <w:rFonts w:ascii="標楷體" w:eastAsia="標楷體" w:hAnsi="標楷體"/>
              </w:rPr>
              <w:t>ETF或加掛ETF，若係以人民幣買賣，委託人應完全</w:t>
            </w:r>
            <w:r w:rsidRPr="00F51C6C">
              <w:rPr>
                <w:rFonts w:ascii="標楷體" w:eastAsia="標楷體" w:hAnsi="標楷體" w:hint="eastAsia"/>
              </w:rPr>
              <w:t>瞭解自然人每日換</w:t>
            </w:r>
            <w:proofErr w:type="gramStart"/>
            <w:r w:rsidRPr="00F51C6C">
              <w:rPr>
                <w:rFonts w:ascii="標楷體" w:eastAsia="標楷體" w:hAnsi="標楷體" w:hint="eastAsia"/>
              </w:rPr>
              <w:t>匯</w:t>
            </w:r>
            <w:proofErr w:type="gramEnd"/>
            <w:r w:rsidRPr="00F51C6C">
              <w:rPr>
                <w:rFonts w:ascii="標楷體" w:eastAsia="標楷體" w:hAnsi="標楷體" w:hint="eastAsia"/>
              </w:rPr>
              <w:t>人民幣限額為二萬元。</w:t>
            </w:r>
          </w:p>
        </w:tc>
        <w:tc>
          <w:tcPr>
            <w:tcW w:w="2524" w:type="dxa"/>
          </w:tcPr>
          <w:p w:rsidR="00F51C6C" w:rsidRPr="00F51C6C" w:rsidRDefault="00F51C6C" w:rsidP="004D5794">
            <w:pPr>
              <w:spacing w:line="240" w:lineRule="auto"/>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三、買賣加掛</w:t>
            </w:r>
            <w:r w:rsidRPr="00F51C6C">
              <w:rPr>
                <w:rFonts w:ascii="標楷體" w:eastAsia="標楷體" w:hAnsi="標楷體"/>
              </w:rPr>
              <w:t>ETF</w:t>
            </w:r>
            <w:r w:rsidRPr="00F51C6C">
              <w:rPr>
                <w:rFonts w:ascii="標楷體" w:eastAsia="標楷體" w:hAnsi="標楷體" w:hint="eastAsia"/>
              </w:rPr>
              <w:t>，除了實際交易產生的損益外，委託人應完全瞭解加掛</w:t>
            </w:r>
            <w:r w:rsidRPr="00F51C6C">
              <w:rPr>
                <w:rFonts w:ascii="標楷體" w:eastAsia="標楷體" w:hAnsi="標楷體"/>
              </w:rPr>
              <w:t>ETF</w:t>
            </w:r>
            <w:r w:rsidRPr="00F51C6C">
              <w:rPr>
                <w:rFonts w:ascii="標楷體" w:eastAsia="標楷體" w:hAnsi="標楷體" w:hint="eastAsia"/>
              </w:rPr>
              <w:t>與被加掛</w:t>
            </w:r>
            <w:r w:rsidRPr="00F51C6C">
              <w:rPr>
                <w:rFonts w:ascii="標楷體" w:eastAsia="標楷體" w:hAnsi="標楷體"/>
              </w:rPr>
              <w:t>ETF</w:t>
            </w:r>
            <w:r w:rsidRPr="00F51C6C">
              <w:rPr>
                <w:rFonts w:ascii="標楷體" w:eastAsia="標楷體" w:hAnsi="標楷體" w:hint="eastAsia"/>
              </w:rPr>
              <w:t>，兩者間存在價差風險及匯率風險。</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三、買賣加掛</w:t>
            </w:r>
            <w:r w:rsidRPr="00F51C6C">
              <w:rPr>
                <w:rFonts w:ascii="標楷體" w:eastAsia="標楷體" w:hAnsi="標楷體"/>
              </w:rPr>
              <w:t>ETF</w:t>
            </w:r>
            <w:r w:rsidRPr="00F51C6C">
              <w:rPr>
                <w:rFonts w:ascii="標楷體" w:eastAsia="標楷體" w:hAnsi="標楷體" w:hint="eastAsia"/>
              </w:rPr>
              <w:t>，除了實際交易產生的損益外，委託人應完全瞭解加掛</w:t>
            </w:r>
            <w:r w:rsidRPr="00F51C6C">
              <w:rPr>
                <w:rFonts w:ascii="標楷體" w:eastAsia="標楷體" w:hAnsi="標楷體"/>
              </w:rPr>
              <w:t>ETF</w:t>
            </w:r>
            <w:r w:rsidRPr="00F51C6C">
              <w:rPr>
                <w:rFonts w:ascii="標楷體" w:eastAsia="標楷體" w:hAnsi="標楷體" w:hint="eastAsia"/>
              </w:rPr>
              <w:t>與被加掛</w:t>
            </w:r>
            <w:r w:rsidRPr="00F51C6C">
              <w:rPr>
                <w:rFonts w:ascii="標楷體" w:eastAsia="標楷體" w:hAnsi="標楷體"/>
              </w:rPr>
              <w:t>ETF</w:t>
            </w:r>
            <w:r w:rsidRPr="00F51C6C">
              <w:rPr>
                <w:rFonts w:ascii="標楷體" w:eastAsia="標楷體" w:hAnsi="標楷體" w:hint="eastAsia"/>
              </w:rPr>
              <w:t>，兩者間存在價差風險及匯率風險。</w:t>
            </w:r>
          </w:p>
        </w:tc>
        <w:tc>
          <w:tcPr>
            <w:tcW w:w="2524" w:type="dxa"/>
          </w:tcPr>
          <w:p w:rsidR="00F51C6C" w:rsidRPr="00F51C6C" w:rsidRDefault="00F51C6C" w:rsidP="004D5794">
            <w:pPr>
              <w:spacing w:line="240" w:lineRule="auto"/>
              <w:jc w:val="left"/>
              <w:rPr>
                <w:rFonts w:ascii="標楷體" w:eastAsia="標楷體" w:hAnsi="標楷體"/>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四、加掛ETF與被加掛ETF得互相轉換，委託人應完全瞭解，須確認其申請數額小於等於其保管劃撥帳戶可用餘</w:t>
            </w:r>
            <w:r w:rsidRPr="00F51C6C">
              <w:rPr>
                <w:rFonts w:ascii="標楷體" w:eastAsia="標楷體" w:hAnsi="標楷體" w:hint="eastAsia"/>
              </w:rPr>
              <w:lastRenderedPageBreak/>
              <w:t>額，始得申請。</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四、加掛ETF與被加掛ETF得互相轉換，委託人應完全瞭解，須確認其申請數額小於等於其保管劃撥帳戶可用餘</w:t>
            </w:r>
            <w:r w:rsidRPr="00F51C6C">
              <w:rPr>
                <w:rFonts w:ascii="標楷體" w:eastAsia="標楷體" w:hAnsi="標楷體" w:hint="eastAsia"/>
              </w:rPr>
              <w:lastRenderedPageBreak/>
              <w:t>額，始得申請。</w:t>
            </w:r>
          </w:p>
        </w:tc>
        <w:tc>
          <w:tcPr>
            <w:tcW w:w="2524" w:type="dxa"/>
          </w:tcPr>
          <w:p w:rsidR="00F51C6C" w:rsidRPr="00F51C6C" w:rsidRDefault="00F51C6C" w:rsidP="004D5794">
            <w:pPr>
              <w:spacing w:line="240" w:lineRule="auto"/>
              <w:jc w:val="left"/>
              <w:rPr>
                <w:rFonts w:ascii="標楷體" w:eastAsia="標楷體" w:hAnsi="標楷體"/>
              </w:rPr>
            </w:pPr>
          </w:p>
        </w:tc>
      </w:tr>
      <w:tr w:rsidR="00F51C6C" w:rsidRPr="00F51C6C" w:rsidTr="00F51C6C">
        <w:tc>
          <w:tcPr>
            <w:tcW w:w="3044"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lastRenderedPageBreak/>
              <w:t>五、加掛ETF與被加掛ETF得互相轉換，委託人應完全瞭解，被加掛ETF不得以融資買進及借入部位申請轉換。</w:t>
            </w:r>
          </w:p>
        </w:tc>
        <w:tc>
          <w:tcPr>
            <w:tcW w:w="3045" w:type="dxa"/>
          </w:tcPr>
          <w:p w:rsidR="00F51C6C" w:rsidRPr="00F51C6C" w:rsidRDefault="00F51C6C" w:rsidP="00B21958">
            <w:pPr>
              <w:spacing w:line="240" w:lineRule="auto"/>
              <w:ind w:left="480" w:hangingChars="200" w:hanging="480"/>
              <w:rPr>
                <w:rFonts w:ascii="標楷體" w:eastAsia="標楷體" w:hAnsi="標楷體"/>
              </w:rPr>
            </w:pPr>
            <w:r w:rsidRPr="00F51C6C">
              <w:rPr>
                <w:rFonts w:ascii="標楷體" w:eastAsia="標楷體" w:hAnsi="標楷體" w:hint="eastAsia"/>
              </w:rPr>
              <w:t>五、加掛ETF與被加掛ETF得互相轉換，委託人應完全瞭解，被加掛ETF不得以融資買進及借入部位申請轉換。</w:t>
            </w:r>
          </w:p>
        </w:tc>
        <w:tc>
          <w:tcPr>
            <w:tcW w:w="2524" w:type="dxa"/>
          </w:tcPr>
          <w:p w:rsidR="00F51C6C" w:rsidRPr="00F51C6C" w:rsidRDefault="00F51C6C" w:rsidP="004D5794">
            <w:pPr>
              <w:spacing w:line="240" w:lineRule="auto"/>
              <w:jc w:val="left"/>
              <w:rPr>
                <w:rFonts w:ascii="標楷體" w:eastAsia="標楷體" w:hAnsi="標楷體"/>
              </w:rPr>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申購買回指數股票型基金受益憑證</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申購買回指數股票型基金受益憑證</w:t>
            </w:r>
          </w:p>
        </w:tc>
        <w:tc>
          <w:tcPr>
            <w:tcW w:w="2524" w:type="dxa"/>
          </w:tcPr>
          <w:p w:rsidR="00F51C6C" w:rsidRPr="00F51C6C" w:rsidRDefault="00F51C6C" w:rsidP="004D5794">
            <w:pPr>
              <w:pStyle w:val="a6"/>
              <w:kinsoku w:val="0"/>
              <w:overflowPunct w:val="0"/>
              <w:autoSpaceDE w:val="0"/>
              <w:autoSpaceDN w:val="0"/>
              <w:adjustRightInd w:val="0"/>
              <w:snapToGrid w:val="0"/>
              <w:spacing w:line="240" w:lineRule="auto"/>
              <w:ind w:firstLine="0"/>
              <w:jc w:val="left"/>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委託人欲從事現金申購及買回槓桿</w:t>
            </w:r>
            <w:proofErr w:type="gramStart"/>
            <w:r w:rsidRPr="00F51C6C">
              <w:rPr>
                <w:rFonts w:ascii="標楷體" w:eastAsia="標楷體" w:hAnsi="標楷體" w:cs="細明體" w:hint="eastAsia"/>
                <w:kern w:val="0"/>
                <w:szCs w:val="24"/>
              </w:rPr>
              <w:t>反向</w:t>
            </w:r>
            <w:r w:rsidRPr="00F51C6C">
              <w:rPr>
                <w:rFonts w:ascii="標楷體" w:eastAsia="標楷體" w:hAnsi="標楷體" w:cs="細明體" w:hint="eastAsia"/>
                <w:kern w:val="0"/>
                <w:szCs w:val="24"/>
                <w:u w:val="single"/>
              </w:rPr>
              <w:t>型</w:t>
            </w:r>
            <w:proofErr w:type="gramEnd"/>
            <w:r w:rsidRPr="00F51C6C">
              <w:rPr>
                <w:rFonts w:ascii="標楷體" w:eastAsia="標楷體" w:hAnsi="標楷體" w:cs="細明體" w:hint="eastAsia"/>
                <w:kern w:val="0"/>
                <w:szCs w:val="24"/>
              </w:rPr>
              <w:t>ETF、外幣買賣ETF或期貨 ETF受益憑證，除上述買賣受益憑證各項風險預告事項外，仍應知悉下列各項事宜，以保護權益：</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委託人欲從事現金申購及買回槓桿反向ETF、外幣買賣ETF或期貨 ETF受益憑證，除上述買賣受益憑證各項風險預告事項外，仍應知悉下列各項事宜，以保護權益：</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pStyle w:val="a6"/>
              <w:kinsoku w:val="0"/>
              <w:overflowPunct w:val="0"/>
              <w:autoSpaceDE w:val="0"/>
              <w:autoSpaceDN w:val="0"/>
              <w:adjustRightInd w:val="0"/>
              <w:snapToGrid w:val="0"/>
              <w:spacing w:line="240" w:lineRule="auto"/>
              <w:ind w:firstLine="0"/>
              <w:jc w:val="left"/>
              <w:rPr>
                <w:snapToGrid w:val="0"/>
              </w:rPr>
            </w:pPr>
          </w:p>
        </w:tc>
      </w:tr>
      <w:tr w:rsidR="00F51C6C" w:rsidRPr="00F51C6C" w:rsidTr="00F51C6C">
        <w:tc>
          <w:tcPr>
            <w:tcW w:w="3044" w:type="dxa"/>
          </w:tcPr>
          <w:p w:rsidR="00F51C6C" w:rsidRPr="00F51C6C" w:rsidRDefault="00F51C6C" w:rsidP="00411357">
            <w:pPr>
              <w:pStyle w:val="ad"/>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ascii="標楷體" w:eastAsia="標楷體" w:hAnsi="標楷體" w:cs="細明體"/>
                <w:kern w:val="0"/>
                <w:szCs w:val="24"/>
              </w:rPr>
            </w:pPr>
            <w:r w:rsidRPr="00F51C6C">
              <w:rPr>
                <w:rFonts w:ascii="標楷體" w:eastAsia="標楷體" w:hAnsi="標楷體" w:cs="細明體" w:hint="eastAsia"/>
                <w:kern w:val="0"/>
                <w:szCs w:val="24"/>
              </w:rPr>
              <w:t>槓桿</w:t>
            </w:r>
            <w:proofErr w:type="gramStart"/>
            <w:r w:rsidRPr="00F51C6C">
              <w:rPr>
                <w:rFonts w:ascii="標楷體" w:eastAsia="標楷體" w:hAnsi="標楷體" w:cs="細明體" w:hint="eastAsia"/>
                <w:kern w:val="0"/>
                <w:szCs w:val="24"/>
              </w:rPr>
              <w:t>反向</w:t>
            </w:r>
            <w:r w:rsidRPr="00F51C6C">
              <w:rPr>
                <w:rFonts w:ascii="標楷體" w:eastAsia="標楷體" w:hAnsi="標楷體" w:cs="細明體" w:hint="eastAsia"/>
                <w:kern w:val="0"/>
                <w:szCs w:val="24"/>
                <w:u w:val="single"/>
              </w:rPr>
              <w:t>型</w:t>
            </w:r>
            <w:proofErr w:type="gramEnd"/>
            <w:r w:rsidRPr="00F51C6C">
              <w:rPr>
                <w:rFonts w:ascii="標楷體" w:eastAsia="標楷體" w:hAnsi="標楷體" w:cs="細明體" w:hint="eastAsia"/>
                <w:kern w:val="0"/>
                <w:szCs w:val="24"/>
              </w:rPr>
              <w:t>ETF、外幣買賣ETF或期貨</w:t>
            </w:r>
            <w:r w:rsidRPr="00F51C6C">
              <w:rPr>
                <w:rFonts w:ascii="標楷體" w:eastAsia="標楷體" w:hAnsi="標楷體" w:cs="細明體"/>
                <w:kern w:val="0"/>
                <w:szCs w:val="24"/>
              </w:rPr>
              <w:t>ETF</w:t>
            </w:r>
            <w:r w:rsidRPr="00F51C6C">
              <w:rPr>
                <w:rFonts w:ascii="標楷體" w:eastAsia="標楷體" w:hAnsi="標楷體" w:cs="細明體" w:hint="eastAsia"/>
                <w:kern w:val="0"/>
                <w:szCs w:val="24"/>
              </w:rPr>
              <w:t>之標的指數如為國外證券指數或期貨指數，發行人依規定於網站揭露之申購買回清單ETF淨值，可能因時差關係，僅係以該國外交易所最近一營業日之收盤價計算，申購及買回</w:t>
            </w:r>
            <w:r w:rsidRPr="00F51C6C">
              <w:rPr>
                <w:rFonts w:ascii="標楷體" w:eastAsia="標楷體" w:hAnsi="標楷體" w:cs="細明體"/>
                <w:kern w:val="0"/>
                <w:szCs w:val="24"/>
              </w:rPr>
              <w:t>ETF</w:t>
            </w:r>
            <w:r w:rsidRPr="00F51C6C">
              <w:rPr>
                <w:rFonts w:ascii="標楷體" w:eastAsia="標楷體" w:hAnsi="標楷體" w:cs="細明體" w:hint="eastAsia"/>
                <w:kern w:val="0"/>
                <w:szCs w:val="24"/>
              </w:rPr>
              <w:t>受益憑證時，可能會有需要補繳申購價款或取得較低之買回價款。</w:t>
            </w:r>
          </w:p>
        </w:tc>
        <w:tc>
          <w:tcPr>
            <w:tcW w:w="3045" w:type="dxa"/>
          </w:tcPr>
          <w:p w:rsidR="00F51C6C" w:rsidRPr="00F51C6C" w:rsidRDefault="00F51C6C" w:rsidP="00B21958">
            <w:pPr>
              <w:pStyle w:val="ad"/>
              <w:widowControl/>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ascii="標楷體" w:eastAsia="標楷體" w:hAnsi="標楷體" w:cs="細明體"/>
                <w:kern w:val="0"/>
                <w:szCs w:val="24"/>
              </w:rPr>
            </w:pPr>
            <w:r w:rsidRPr="00F51C6C">
              <w:rPr>
                <w:rFonts w:ascii="標楷體" w:eastAsia="標楷體" w:hAnsi="標楷體" w:cs="細明體" w:hint="eastAsia"/>
                <w:kern w:val="0"/>
                <w:szCs w:val="24"/>
              </w:rPr>
              <w:t>槓桿反向ETF、外幣買賣ETF或期貨</w:t>
            </w:r>
            <w:r w:rsidRPr="00F51C6C">
              <w:rPr>
                <w:rFonts w:ascii="標楷體" w:eastAsia="標楷體" w:hAnsi="標楷體" w:cs="細明體"/>
                <w:kern w:val="0"/>
                <w:szCs w:val="24"/>
              </w:rPr>
              <w:t>ETF</w:t>
            </w:r>
            <w:r w:rsidRPr="00F51C6C">
              <w:rPr>
                <w:rFonts w:ascii="標楷體" w:eastAsia="標楷體" w:hAnsi="標楷體" w:cs="細明體" w:hint="eastAsia"/>
                <w:kern w:val="0"/>
                <w:szCs w:val="24"/>
              </w:rPr>
              <w:t>之標的指數如為國外證券指數或</w:t>
            </w:r>
            <w:r w:rsidRPr="00F51C6C">
              <w:rPr>
                <w:rFonts w:ascii="標楷體" w:eastAsia="標楷體" w:hAnsi="標楷體" w:cs="細明體" w:hint="eastAsia"/>
                <w:kern w:val="0"/>
                <w:szCs w:val="24"/>
                <w:u w:val="single"/>
              </w:rPr>
              <w:t>商品</w:t>
            </w:r>
            <w:r w:rsidRPr="00F51C6C">
              <w:rPr>
                <w:rFonts w:ascii="標楷體" w:eastAsia="標楷體" w:hAnsi="標楷體" w:cs="細明體" w:hint="eastAsia"/>
                <w:kern w:val="0"/>
                <w:szCs w:val="24"/>
              </w:rPr>
              <w:t>期貨指數，發行人依規定於網站揭露之申購買回清單ETF淨值，可能因時差關係，僅係以該國外交易所最近一營業日之收盤價計算，申購及買回</w:t>
            </w:r>
            <w:r w:rsidRPr="00F51C6C">
              <w:rPr>
                <w:rFonts w:ascii="標楷體" w:eastAsia="標楷體" w:hAnsi="標楷體" w:cs="細明體"/>
                <w:kern w:val="0"/>
                <w:szCs w:val="24"/>
              </w:rPr>
              <w:t>ETF</w:t>
            </w:r>
            <w:r w:rsidRPr="00F51C6C">
              <w:rPr>
                <w:rFonts w:ascii="標楷體" w:eastAsia="標楷體" w:hAnsi="標楷體" w:cs="細明體" w:hint="eastAsia"/>
                <w:kern w:val="0"/>
                <w:szCs w:val="24"/>
              </w:rPr>
              <w:t>受益憑證時，可能會有需要補繳申購價款或取得較低之買回價款。</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rFonts w:cs="細明體"/>
              </w:rPr>
            </w:pPr>
          </w:p>
        </w:tc>
      </w:tr>
      <w:tr w:rsidR="00F51C6C" w:rsidRPr="00B230A6" w:rsidTr="00F51C6C">
        <w:tc>
          <w:tcPr>
            <w:tcW w:w="3044" w:type="dxa"/>
          </w:tcPr>
          <w:p w:rsidR="00F51C6C" w:rsidRPr="00F51C6C" w:rsidRDefault="00F51C6C" w:rsidP="00CF7F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二、期貨ETF連結之國外期貨指數標的交易時間與我國市場可能不同，故期貨ETF發行人收到申購價款或買回指示後，再買賣國外商品期貨指數標的，成交</w:t>
            </w:r>
            <w:r w:rsidRPr="00F51C6C">
              <w:rPr>
                <w:rFonts w:ascii="標楷體" w:eastAsia="標楷體" w:hAnsi="標楷體" w:cs="細明體" w:hint="eastAsia"/>
                <w:kern w:val="0"/>
                <w:szCs w:val="24"/>
              </w:rPr>
              <w:lastRenderedPageBreak/>
              <w:t>價格與委託人進行申購及買回時之價格，可能會有差距。</w:t>
            </w:r>
          </w:p>
        </w:tc>
        <w:tc>
          <w:tcPr>
            <w:tcW w:w="3045" w:type="dxa"/>
          </w:tcPr>
          <w:p w:rsidR="00F51C6C" w:rsidRPr="00F51C6C" w:rsidRDefault="00F51C6C" w:rsidP="00CB5E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二、期貨ETF連結之國外</w:t>
            </w:r>
            <w:r w:rsidRPr="00F51C6C">
              <w:rPr>
                <w:rFonts w:ascii="標楷體" w:eastAsia="標楷體" w:hAnsi="標楷體" w:cs="細明體" w:hint="eastAsia"/>
                <w:kern w:val="0"/>
                <w:szCs w:val="24"/>
                <w:u w:val="single"/>
              </w:rPr>
              <w:t>商品</w:t>
            </w:r>
            <w:r w:rsidRPr="00F51C6C">
              <w:rPr>
                <w:rFonts w:ascii="標楷體" w:eastAsia="標楷體" w:hAnsi="標楷體" w:cs="細明體" w:hint="eastAsia"/>
                <w:kern w:val="0"/>
                <w:szCs w:val="24"/>
              </w:rPr>
              <w:t>期貨指數標的</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u w:val="single"/>
              </w:rPr>
              <w:t>例如：商品、原物料、能源、農產品等</w:t>
            </w:r>
            <w:proofErr w:type="gramStart"/>
            <w:r w:rsidRPr="00F51C6C">
              <w:rPr>
                <w:rFonts w:ascii="標楷體" w:eastAsia="標楷體" w:hAnsi="標楷體" w:cs="細明體" w:hint="eastAsia"/>
                <w:kern w:val="0"/>
                <w:szCs w:val="24"/>
                <w:u w:val="single"/>
              </w:rPr>
              <w:t>）</w:t>
            </w:r>
            <w:proofErr w:type="gramEnd"/>
            <w:r w:rsidRPr="00F51C6C">
              <w:rPr>
                <w:rFonts w:ascii="標楷體" w:eastAsia="標楷體" w:hAnsi="標楷體" w:cs="細明體" w:hint="eastAsia"/>
                <w:kern w:val="0"/>
                <w:szCs w:val="24"/>
              </w:rPr>
              <w:t>交易時間與我國市場可能不同，故期貨ETF發行人收到申購價款或買回</w:t>
            </w:r>
            <w:r w:rsidRPr="00F51C6C">
              <w:rPr>
                <w:rFonts w:ascii="標楷體" w:eastAsia="標楷體" w:hAnsi="標楷體" w:cs="細明體" w:hint="eastAsia"/>
                <w:kern w:val="0"/>
                <w:szCs w:val="24"/>
              </w:rPr>
              <w:lastRenderedPageBreak/>
              <w:t>指示後，再買賣國外商品期貨指數標的，成交價格與</w:t>
            </w:r>
            <w:r w:rsidRPr="00F51C6C">
              <w:rPr>
                <w:rFonts w:ascii="標楷體" w:eastAsia="標楷體" w:hAnsi="標楷體" w:cs="細明體" w:hint="eastAsia"/>
                <w:kern w:val="0"/>
                <w:szCs w:val="24"/>
                <w:u w:val="single"/>
              </w:rPr>
              <w:t>投資</w:t>
            </w:r>
            <w:r w:rsidRPr="00F51C6C">
              <w:rPr>
                <w:rFonts w:ascii="標楷體" w:eastAsia="標楷體" w:hAnsi="標楷體" w:cs="細明體" w:hint="eastAsia"/>
                <w:kern w:val="0"/>
                <w:szCs w:val="24"/>
              </w:rPr>
              <w:t>人進行申購及買回時之價格，可能會有差距。</w:t>
            </w:r>
          </w:p>
        </w:tc>
        <w:tc>
          <w:tcPr>
            <w:tcW w:w="2524" w:type="dxa"/>
          </w:tcPr>
          <w:p w:rsidR="00401480" w:rsidRPr="00401480" w:rsidRDefault="00401480" w:rsidP="001B55BE">
            <w:pPr>
              <w:pStyle w:val="a6"/>
              <w:numPr>
                <w:ilvl w:val="0"/>
                <w:numId w:val="19"/>
              </w:numPr>
              <w:kinsoku w:val="0"/>
              <w:overflowPunct w:val="0"/>
              <w:autoSpaceDE w:val="0"/>
              <w:autoSpaceDN w:val="0"/>
              <w:adjustRightInd w:val="0"/>
              <w:snapToGrid w:val="0"/>
              <w:spacing w:line="240" w:lineRule="auto"/>
              <w:rPr>
                <w:snapToGrid w:val="0"/>
              </w:rPr>
            </w:pPr>
            <w:r w:rsidRPr="00401480">
              <w:rPr>
                <w:rFonts w:hint="eastAsia"/>
                <w:snapToGrid w:val="0"/>
              </w:rPr>
              <w:lastRenderedPageBreak/>
              <w:t>配合期貨信託基金管理辦法並未限定指數股票型期貨信託基金僅得追踪國外商品期貨指數，</w:t>
            </w:r>
            <w:r>
              <w:rPr>
                <w:rFonts w:hint="eastAsia"/>
                <w:snapToGrid w:val="0"/>
              </w:rPr>
              <w:t>爰刪除「商品」等字。</w:t>
            </w:r>
          </w:p>
          <w:p w:rsidR="00F51C6C" w:rsidRPr="00F51C6C" w:rsidRDefault="00FA327A" w:rsidP="001B55BE">
            <w:pPr>
              <w:pStyle w:val="a6"/>
              <w:numPr>
                <w:ilvl w:val="0"/>
                <w:numId w:val="19"/>
              </w:numPr>
              <w:kinsoku w:val="0"/>
              <w:overflowPunct w:val="0"/>
              <w:autoSpaceDE w:val="0"/>
              <w:autoSpaceDN w:val="0"/>
              <w:adjustRightInd w:val="0"/>
              <w:snapToGrid w:val="0"/>
              <w:spacing w:line="240" w:lineRule="auto"/>
              <w:rPr>
                <w:snapToGrid w:val="0"/>
              </w:rPr>
            </w:pPr>
            <w:r>
              <w:rPr>
                <w:rFonts w:hint="eastAsia"/>
                <w:snapToGrid w:val="0"/>
              </w:rPr>
              <w:t>另</w:t>
            </w:r>
            <w:r w:rsidR="00F51C6C" w:rsidRPr="00401480">
              <w:rPr>
                <w:snapToGrid w:val="0"/>
              </w:rPr>
              <w:t>因前述風險預</w:t>
            </w:r>
            <w:r w:rsidR="00F51C6C" w:rsidRPr="00401480">
              <w:rPr>
                <w:snapToGrid w:val="0"/>
              </w:rPr>
              <w:lastRenderedPageBreak/>
              <w:t>告事項已就期貨指數標的範</w:t>
            </w:r>
            <w:r w:rsidR="00F51C6C" w:rsidRPr="00F51C6C">
              <w:rPr>
                <w:snapToGrid w:val="0"/>
              </w:rPr>
              <w:t>圍敘明「可包括：商品、利率等」，</w:t>
            </w:r>
            <w:proofErr w:type="gramStart"/>
            <w:r w:rsidR="00F51C6C" w:rsidRPr="00F51C6C">
              <w:rPr>
                <w:snapToGrid w:val="0"/>
              </w:rPr>
              <w:t>爰</w:t>
            </w:r>
            <w:proofErr w:type="gramEnd"/>
            <w:r w:rsidR="00F51C6C" w:rsidRPr="00F51C6C">
              <w:rPr>
                <w:snapToGrid w:val="0"/>
              </w:rPr>
              <w:t>刪除</w:t>
            </w:r>
            <w:r w:rsidR="00B31139">
              <w:rPr>
                <w:rFonts w:hint="eastAsia"/>
                <w:snapToGrid w:val="0"/>
              </w:rPr>
              <w:t>(例如</w:t>
            </w:r>
            <w:r w:rsidR="00F51C6C" w:rsidRPr="00F51C6C">
              <w:rPr>
                <w:snapToGrid w:val="0"/>
              </w:rPr>
              <w:t>：商品、原物料、能源、農產品等</w:t>
            </w:r>
            <w:r w:rsidR="00B31139">
              <w:rPr>
                <w:rFonts w:hint="eastAsia"/>
                <w:snapToGrid w:val="0"/>
              </w:rPr>
              <w:t>)</w:t>
            </w:r>
            <w:r w:rsidR="00E333A2">
              <w:rPr>
                <w:rFonts w:hint="eastAsia"/>
                <w:snapToGrid w:val="0"/>
              </w:rPr>
              <w:t>等字</w:t>
            </w:r>
            <w:r w:rsidR="00F51C6C" w:rsidRPr="00F51C6C">
              <w:rPr>
                <w:snapToGrid w:val="0"/>
              </w:rPr>
              <w:t>。</w:t>
            </w: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lastRenderedPageBreak/>
              <w:t>三、槓桿</w:t>
            </w:r>
            <w:proofErr w:type="gramStart"/>
            <w:r w:rsidRPr="00F51C6C">
              <w:rPr>
                <w:rFonts w:ascii="標楷體" w:eastAsia="標楷體" w:hAnsi="標楷體" w:cs="細明體" w:hint="eastAsia"/>
                <w:kern w:val="0"/>
                <w:szCs w:val="24"/>
              </w:rPr>
              <w:t>反向</w:t>
            </w:r>
            <w:r w:rsidRPr="00F51C6C">
              <w:rPr>
                <w:rFonts w:ascii="標楷體" w:eastAsia="標楷體" w:hAnsi="標楷體" w:cs="細明體" w:hint="eastAsia"/>
                <w:kern w:val="0"/>
                <w:szCs w:val="24"/>
                <w:u w:val="single"/>
              </w:rPr>
              <w:t>型</w:t>
            </w:r>
            <w:proofErr w:type="gramEnd"/>
            <w:r w:rsidRPr="00F51C6C">
              <w:rPr>
                <w:rFonts w:ascii="標楷體" w:eastAsia="標楷體" w:hAnsi="標楷體" w:cs="細明體" w:hint="eastAsia"/>
                <w:kern w:val="0"/>
                <w:szCs w:val="24"/>
              </w:rPr>
              <w:t>ETF或外幣買賣ETF連結之國外指數，其投資標的交易時間與我國市場可能不同，故ETF發行人收到申購價款或買回指示後，再買賣國外投資標的，成交價格與</w:t>
            </w:r>
            <w:r w:rsidRPr="00F51C6C">
              <w:rPr>
                <w:rFonts w:ascii="標楷體" w:eastAsia="標楷體" w:hAnsi="標楷體" w:cs="細明體" w:hint="eastAsia"/>
                <w:kern w:val="0"/>
                <w:szCs w:val="24"/>
                <w:u w:val="single"/>
              </w:rPr>
              <w:t>委託</w:t>
            </w:r>
            <w:r w:rsidRPr="00F51C6C">
              <w:rPr>
                <w:rFonts w:ascii="標楷體" w:eastAsia="標楷體" w:hAnsi="標楷體" w:cs="細明體" w:hint="eastAsia"/>
                <w:kern w:val="0"/>
                <w:szCs w:val="24"/>
              </w:rPr>
              <w:t>人進行申購及買回時之價格，可能會有差距。</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三、槓桿反向ETF或外幣買賣ETF連結之國外指數，其投資標的交易時間與我國市場可能不同，故ETF發行人收到申購價款或買回指示後，再買賣國外投資標的，成交價格與投資人進行申購及買回時之價格，可能會有差距。</w:t>
            </w:r>
          </w:p>
        </w:tc>
        <w:tc>
          <w:tcPr>
            <w:tcW w:w="2524" w:type="dxa"/>
          </w:tcPr>
          <w:p w:rsidR="00F51C6C" w:rsidRPr="00F51C6C" w:rsidRDefault="00F51C6C" w:rsidP="004D5794">
            <w:pPr>
              <w:spacing w:line="240" w:lineRule="auto"/>
              <w:jc w:val="left"/>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四、槓桿</w:t>
            </w:r>
            <w:proofErr w:type="gramStart"/>
            <w:r w:rsidRPr="00F51C6C">
              <w:rPr>
                <w:rFonts w:ascii="標楷體" w:eastAsia="標楷體" w:hAnsi="標楷體" w:cs="細明體" w:hint="eastAsia"/>
                <w:kern w:val="0"/>
                <w:szCs w:val="24"/>
              </w:rPr>
              <w:t>反向</w:t>
            </w:r>
            <w:r w:rsidRPr="00F51C6C">
              <w:rPr>
                <w:rFonts w:ascii="標楷體" w:eastAsia="標楷體" w:hAnsi="標楷體" w:cs="細明體" w:hint="eastAsia"/>
                <w:kern w:val="0"/>
                <w:szCs w:val="24"/>
                <w:u w:val="single"/>
              </w:rPr>
              <w:t>型</w:t>
            </w:r>
            <w:proofErr w:type="gramEnd"/>
            <w:r w:rsidRPr="00F51C6C">
              <w:rPr>
                <w:rFonts w:ascii="標楷體" w:eastAsia="標楷體" w:hAnsi="標楷體" w:cs="細明體"/>
                <w:kern w:val="0"/>
                <w:szCs w:val="24"/>
              </w:rPr>
              <w:t>ETF、外幣買賣ETF或</w:t>
            </w:r>
            <w:r w:rsidRPr="00F51C6C">
              <w:rPr>
                <w:rFonts w:ascii="標楷體" w:eastAsia="標楷體" w:hAnsi="標楷體" w:cs="細明體" w:hint="eastAsia"/>
                <w:kern w:val="0"/>
                <w:szCs w:val="24"/>
              </w:rPr>
              <w:t>期貨 ETF所投資之標的如以外國貨幣交易，除實際交易產生損益外，尚須負擔匯率風險，可能使申購或買回價款有損失之虞。</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四、</w:t>
            </w:r>
            <w:proofErr w:type="gramStart"/>
            <w:r w:rsidRPr="00F51C6C">
              <w:rPr>
                <w:rFonts w:ascii="標楷體" w:eastAsia="標楷體" w:hAnsi="標楷體" w:cs="細明體" w:hint="eastAsia"/>
                <w:kern w:val="0"/>
                <w:szCs w:val="24"/>
              </w:rPr>
              <w:t>桿槓</w:t>
            </w:r>
            <w:proofErr w:type="gramEnd"/>
            <w:r w:rsidRPr="00F51C6C">
              <w:rPr>
                <w:rFonts w:ascii="標楷體" w:eastAsia="標楷體" w:hAnsi="標楷體" w:cs="細明體" w:hint="eastAsia"/>
                <w:kern w:val="0"/>
                <w:szCs w:val="24"/>
              </w:rPr>
              <w:t>反向</w:t>
            </w:r>
            <w:r w:rsidRPr="00F51C6C">
              <w:rPr>
                <w:rFonts w:ascii="標楷體" w:eastAsia="標楷體" w:hAnsi="標楷體" w:cs="細明體"/>
                <w:kern w:val="0"/>
                <w:szCs w:val="24"/>
              </w:rPr>
              <w:t>ETF、外幣買賣ETF或</w:t>
            </w:r>
            <w:r w:rsidRPr="00F51C6C">
              <w:rPr>
                <w:rFonts w:ascii="標楷體" w:eastAsia="標楷體" w:hAnsi="標楷體" w:cs="細明體" w:hint="eastAsia"/>
                <w:kern w:val="0"/>
                <w:szCs w:val="24"/>
              </w:rPr>
              <w:t>期貨 ETF所投資之標的如以外國貨幣交易，除實際交易產生損益外，尚須負擔匯率風險，可能使申購或買回價款有損失之虞。</w:t>
            </w:r>
          </w:p>
        </w:tc>
        <w:tc>
          <w:tcPr>
            <w:tcW w:w="2524" w:type="dxa"/>
          </w:tcPr>
          <w:p w:rsidR="00F51C6C" w:rsidRPr="00F51C6C" w:rsidRDefault="00F51C6C" w:rsidP="001703D1">
            <w:pPr>
              <w:spacing w:line="240" w:lineRule="auto"/>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pStyle w:val="a6"/>
              <w:kinsoku w:val="0"/>
              <w:overflowPunct w:val="0"/>
              <w:autoSpaceDE w:val="0"/>
              <w:autoSpaceDN w:val="0"/>
              <w:adjustRightInd w:val="0"/>
              <w:snapToGrid w:val="0"/>
              <w:spacing w:line="240" w:lineRule="auto"/>
              <w:ind w:left="480" w:hangingChars="200" w:hanging="480"/>
              <w:jc w:val="left"/>
              <w:rPr>
                <w:snapToGrid w:val="0"/>
              </w:rPr>
            </w:pPr>
          </w:p>
        </w:tc>
      </w:tr>
      <w:tr w:rsidR="00F51C6C" w:rsidRPr="00F51C6C" w:rsidTr="00F51C6C">
        <w:tc>
          <w:tcPr>
            <w:tcW w:w="3044"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五、槓桿</w:t>
            </w:r>
            <w:proofErr w:type="gramStart"/>
            <w:r w:rsidRPr="00F51C6C">
              <w:rPr>
                <w:rFonts w:ascii="標楷體" w:eastAsia="標楷體" w:hAnsi="標楷體" w:cs="細明體" w:hint="eastAsia"/>
                <w:kern w:val="0"/>
                <w:szCs w:val="24"/>
              </w:rPr>
              <w:t>反向</w:t>
            </w:r>
            <w:r w:rsidRPr="00F51C6C">
              <w:rPr>
                <w:rFonts w:ascii="標楷體" w:eastAsia="標楷體" w:hAnsi="標楷體" w:cs="細明體" w:hint="eastAsia"/>
                <w:kern w:val="0"/>
                <w:szCs w:val="24"/>
                <w:u w:val="single"/>
              </w:rPr>
              <w:t>型</w:t>
            </w:r>
            <w:proofErr w:type="gramEnd"/>
            <w:r w:rsidRPr="00F51C6C">
              <w:rPr>
                <w:rFonts w:ascii="標楷體" w:eastAsia="標楷體" w:hAnsi="標楷體" w:cs="細明體" w:hint="eastAsia"/>
                <w:kern w:val="0"/>
                <w:szCs w:val="24"/>
              </w:rPr>
              <w:t>ETF、外幣買賣ETF或期貨ETF，申購買回之價款，可能會受利率、流動性、匯兌、通貨膨脹、再投資、個別事件、稅賦、信用及連結標的市場風險等影響。</w:t>
            </w:r>
          </w:p>
        </w:tc>
        <w:tc>
          <w:tcPr>
            <w:tcW w:w="3045" w:type="dxa"/>
          </w:tcPr>
          <w:p w:rsidR="00F51C6C" w:rsidRPr="00F51C6C" w:rsidRDefault="00F51C6C" w:rsidP="00B21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ascii="標楷體" w:eastAsia="標楷體" w:hAnsi="標楷體" w:cs="細明體"/>
                <w:kern w:val="0"/>
                <w:szCs w:val="24"/>
              </w:rPr>
            </w:pPr>
            <w:r w:rsidRPr="00F51C6C">
              <w:rPr>
                <w:rFonts w:ascii="標楷體" w:eastAsia="標楷體" w:hAnsi="標楷體" w:cs="細明體" w:hint="eastAsia"/>
                <w:kern w:val="0"/>
                <w:szCs w:val="24"/>
              </w:rPr>
              <w:t>五、槓桿反向ETF、外幣買賣ETF或期貨ETF，申購買回之價款，可能會受利率、流動性、匯兌、通貨膨脹、再投資、個別事件、稅賦、信用及連結標的市場風險等影響。</w:t>
            </w:r>
          </w:p>
        </w:tc>
        <w:tc>
          <w:tcPr>
            <w:tcW w:w="2524" w:type="dxa"/>
          </w:tcPr>
          <w:p w:rsidR="00F51C6C" w:rsidRPr="00F51C6C" w:rsidRDefault="00F51C6C" w:rsidP="001703D1">
            <w:pPr>
              <w:spacing w:line="240" w:lineRule="auto"/>
              <w:rPr>
                <w:rFonts w:ascii="標楷體" w:eastAsia="標楷體" w:hAnsi="標楷體"/>
                <w:szCs w:val="24"/>
              </w:rPr>
            </w:pPr>
            <w:proofErr w:type="gramStart"/>
            <w:r w:rsidRPr="00F51C6C">
              <w:rPr>
                <w:rFonts w:ascii="標楷體" w:eastAsia="標楷體" w:hAnsi="標楷體"/>
                <w:szCs w:val="24"/>
              </w:rPr>
              <w:t>酌修文字</w:t>
            </w:r>
            <w:proofErr w:type="gramEnd"/>
            <w:r w:rsidRPr="00F51C6C">
              <w:rPr>
                <w:rFonts w:ascii="標楷體" w:eastAsia="標楷體" w:hAnsi="標楷體"/>
                <w:szCs w:val="24"/>
              </w:rPr>
              <w:t>。</w:t>
            </w:r>
          </w:p>
          <w:p w:rsidR="00F51C6C" w:rsidRPr="00F51C6C" w:rsidRDefault="00F51C6C" w:rsidP="004D5794">
            <w:pPr>
              <w:pStyle w:val="a6"/>
              <w:kinsoku w:val="0"/>
              <w:overflowPunct w:val="0"/>
              <w:autoSpaceDE w:val="0"/>
              <w:autoSpaceDN w:val="0"/>
              <w:adjustRightInd w:val="0"/>
              <w:snapToGrid w:val="0"/>
              <w:spacing w:line="240" w:lineRule="auto"/>
              <w:ind w:firstLine="0"/>
              <w:jc w:val="left"/>
            </w:pPr>
          </w:p>
        </w:tc>
      </w:tr>
      <w:tr w:rsidR="00F51C6C" w:rsidRPr="00F51C6C" w:rsidTr="00F51C6C">
        <w:tc>
          <w:tcPr>
            <w:tcW w:w="3044"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本</w:t>
            </w:r>
            <w:r w:rsidRPr="00F51C6C">
              <w:rPr>
                <w:rFonts w:ascii="標楷體" w:eastAsia="標楷體" w:hAnsi="標楷體"/>
              </w:rPr>
              <w:t>風險預告書之預告事項甚為簡要</w:t>
            </w:r>
            <w:r w:rsidRPr="00F51C6C">
              <w:rPr>
                <w:rFonts w:ascii="標楷體" w:eastAsia="標楷體" w:hAnsi="標楷體" w:hint="eastAsia"/>
              </w:rPr>
              <w:t>，亦僅為列示性質</w:t>
            </w:r>
            <w:r w:rsidRPr="00F51C6C">
              <w:rPr>
                <w:rFonts w:ascii="標楷體" w:eastAsia="標楷體" w:hAnsi="標楷體"/>
              </w:rPr>
              <w:t>，因</w:t>
            </w:r>
            <w:r w:rsidRPr="00F51C6C">
              <w:rPr>
                <w:rFonts w:ascii="標楷體" w:eastAsia="標楷體" w:hAnsi="標楷體" w:hint="eastAsia"/>
              </w:rPr>
              <w:t>而</w:t>
            </w:r>
            <w:r w:rsidRPr="00F51C6C">
              <w:rPr>
                <w:rFonts w:ascii="標楷體" w:eastAsia="標楷體" w:hAnsi="標楷體"/>
              </w:rPr>
              <w:t>對所有投資風險及影響市場行情之因素無法逐項詳述，</w:t>
            </w:r>
            <w:r w:rsidRPr="00F51C6C">
              <w:rPr>
                <w:rFonts w:ascii="標楷體" w:eastAsia="標楷體" w:hAnsi="標楷體" w:hint="eastAsia"/>
              </w:rPr>
              <w:t>委託</w:t>
            </w:r>
            <w:r w:rsidRPr="00F51C6C">
              <w:rPr>
                <w:rFonts w:ascii="標楷體" w:eastAsia="標楷體" w:hAnsi="標楷體"/>
              </w:rPr>
              <w:t>人於交易</w:t>
            </w:r>
            <w:r w:rsidRPr="00F51C6C">
              <w:rPr>
                <w:rFonts w:ascii="標楷體" w:eastAsia="標楷體" w:hAnsi="標楷體"/>
              </w:rPr>
              <w:lastRenderedPageBreak/>
              <w:t>前，除</w:t>
            </w:r>
            <w:r w:rsidRPr="00F51C6C">
              <w:rPr>
                <w:rFonts w:ascii="標楷體" w:eastAsia="標楷體" w:hAnsi="標楷體" w:hint="eastAsia"/>
              </w:rPr>
              <w:t>已</w:t>
            </w:r>
            <w:r w:rsidRPr="00F51C6C">
              <w:rPr>
                <w:rFonts w:ascii="標楷體" w:eastAsia="標楷體" w:hAnsi="標楷體"/>
              </w:rPr>
              <w:t>對本風險預告書詳加</w:t>
            </w:r>
            <w:proofErr w:type="gramStart"/>
            <w:r w:rsidRPr="00F51C6C">
              <w:rPr>
                <w:rFonts w:ascii="標楷體" w:eastAsia="標楷體" w:hAnsi="標楷體"/>
              </w:rPr>
              <w:t>研</w:t>
            </w:r>
            <w:proofErr w:type="gramEnd"/>
            <w:r w:rsidRPr="00F51C6C">
              <w:rPr>
                <w:rFonts w:ascii="標楷體" w:eastAsia="標楷體" w:hAnsi="標楷體" w:hint="eastAsia"/>
              </w:rPr>
              <w:t>讀</w:t>
            </w:r>
            <w:r w:rsidRPr="00F51C6C">
              <w:rPr>
                <w:rFonts w:ascii="標楷體" w:eastAsia="標楷體" w:hAnsi="標楷體"/>
              </w:rPr>
              <w:t>外，對其他可能影響之因素亦須慎思明辨，並確實評估風險，以免因交易</w:t>
            </w:r>
            <w:r w:rsidRPr="00F51C6C">
              <w:rPr>
                <w:rFonts w:ascii="標楷體" w:eastAsia="標楷體" w:hAnsi="標楷體" w:hint="eastAsia"/>
              </w:rPr>
              <w:t>而</w:t>
            </w:r>
            <w:r w:rsidRPr="00F51C6C">
              <w:rPr>
                <w:rFonts w:ascii="標楷體" w:eastAsia="標楷體" w:hAnsi="標楷體"/>
              </w:rPr>
              <w:t>遭</w:t>
            </w:r>
            <w:r w:rsidRPr="00F51C6C">
              <w:rPr>
                <w:rFonts w:ascii="標楷體" w:eastAsia="標楷體" w:hAnsi="標楷體" w:hint="eastAsia"/>
              </w:rPr>
              <w:t>受難以</w:t>
            </w:r>
            <w:r w:rsidRPr="00F51C6C">
              <w:rPr>
                <w:rFonts w:ascii="標楷體" w:eastAsia="標楷體" w:hAnsi="標楷體"/>
              </w:rPr>
              <w:t>承受之損失。</w:t>
            </w:r>
          </w:p>
        </w:tc>
        <w:tc>
          <w:tcPr>
            <w:tcW w:w="3045"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lastRenderedPageBreak/>
              <w:t>本</w:t>
            </w:r>
            <w:r w:rsidRPr="00F51C6C">
              <w:rPr>
                <w:rFonts w:ascii="標楷體" w:eastAsia="標楷體" w:hAnsi="標楷體"/>
              </w:rPr>
              <w:t>風險預告書之預告事項甚為簡要</w:t>
            </w:r>
            <w:r w:rsidRPr="00F51C6C">
              <w:rPr>
                <w:rFonts w:ascii="標楷體" w:eastAsia="標楷體" w:hAnsi="標楷體" w:hint="eastAsia"/>
              </w:rPr>
              <w:t>，亦僅為列示性質</w:t>
            </w:r>
            <w:r w:rsidRPr="00F51C6C">
              <w:rPr>
                <w:rFonts w:ascii="標楷體" w:eastAsia="標楷體" w:hAnsi="標楷體"/>
              </w:rPr>
              <w:t>，因</w:t>
            </w:r>
            <w:r w:rsidRPr="00F51C6C">
              <w:rPr>
                <w:rFonts w:ascii="標楷體" w:eastAsia="標楷體" w:hAnsi="標楷體" w:hint="eastAsia"/>
              </w:rPr>
              <w:t>而</w:t>
            </w:r>
            <w:r w:rsidRPr="00F51C6C">
              <w:rPr>
                <w:rFonts w:ascii="標楷體" w:eastAsia="標楷體" w:hAnsi="標楷體"/>
              </w:rPr>
              <w:t>對所有投資風險及影響市場行情之因素無法逐項詳述，</w:t>
            </w:r>
            <w:r w:rsidRPr="00F51C6C">
              <w:rPr>
                <w:rFonts w:ascii="標楷體" w:eastAsia="標楷體" w:hAnsi="標楷體" w:hint="eastAsia"/>
              </w:rPr>
              <w:t>委託</w:t>
            </w:r>
            <w:r w:rsidRPr="00F51C6C">
              <w:rPr>
                <w:rFonts w:ascii="標楷體" w:eastAsia="標楷體" w:hAnsi="標楷體"/>
              </w:rPr>
              <w:t>人於交易</w:t>
            </w:r>
            <w:r w:rsidRPr="00F51C6C">
              <w:rPr>
                <w:rFonts w:ascii="標楷體" w:eastAsia="標楷體" w:hAnsi="標楷體"/>
              </w:rPr>
              <w:lastRenderedPageBreak/>
              <w:t>前，除</w:t>
            </w:r>
            <w:r w:rsidRPr="00F51C6C">
              <w:rPr>
                <w:rFonts w:ascii="標楷體" w:eastAsia="標楷體" w:hAnsi="標楷體" w:hint="eastAsia"/>
              </w:rPr>
              <w:t>已</w:t>
            </w:r>
            <w:r w:rsidRPr="00F51C6C">
              <w:rPr>
                <w:rFonts w:ascii="標楷體" w:eastAsia="標楷體" w:hAnsi="標楷體"/>
              </w:rPr>
              <w:t>對本風險預告書詳加</w:t>
            </w:r>
            <w:proofErr w:type="gramStart"/>
            <w:r w:rsidRPr="00F51C6C">
              <w:rPr>
                <w:rFonts w:ascii="標楷體" w:eastAsia="標楷體" w:hAnsi="標楷體"/>
              </w:rPr>
              <w:t>研</w:t>
            </w:r>
            <w:proofErr w:type="gramEnd"/>
            <w:r w:rsidRPr="00F51C6C">
              <w:rPr>
                <w:rFonts w:ascii="標楷體" w:eastAsia="標楷體" w:hAnsi="標楷體" w:hint="eastAsia"/>
              </w:rPr>
              <w:t>讀</w:t>
            </w:r>
            <w:r w:rsidRPr="00F51C6C">
              <w:rPr>
                <w:rFonts w:ascii="標楷體" w:eastAsia="標楷體" w:hAnsi="標楷體"/>
              </w:rPr>
              <w:t>外，對其他可能影響之因素亦須慎思明辨，並確實評估風險，以免因交易</w:t>
            </w:r>
            <w:r w:rsidRPr="00F51C6C">
              <w:rPr>
                <w:rFonts w:ascii="標楷體" w:eastAsia="標楷體" w:hAnsi="標楷體" w:hint="eastAsia"/>
              </w:rPr>
              <w:t>而</w:t>
            </w:r>
            <w:r w:rsidRPr="00F51C6C">
              <w:rPr>
                <w:rFonts w:ascii="標楷體" w:eastAsia="標楷體" w:hAnsi="標楷體"/>
              </w:rPr>
              <w:t>遭</w:t>
            </w:r>
            <w:r w:rsidRPr="00F51C6C">
              <w:rPr>
                <w:rFonts w:ascii="標楷體" w:eastAsia="標楷體" w:hAnsi="標楷體" w:hint="eastAsia"/>
              </w:rPr>
              <w:t>受難以</w:t>
            </w:r>
            <w:r w:rsidRPr="00F51C6C">
              <w:rPr>
                <w:rFonts w:ascii="標楷體" w:eastAsia="標楷體" w:hAnsi="標楷體"/>
              </w:rPr>
              <w:t>承受之損失。</w:t>
            </w:r>
          </w:p>
        </w:tc>
        <w:tc>
          <w:tcPr>
            <w:tcW w:w="2524" w:type="dxa"/>
          </w:tcPr>
          <w:p w:rsidR="00F51C6C" w:rsidRPr="00F51C6C" w:rsidRDefault="00F51C6C" w:rsidP="004D5794">
            <w:pPr>
              <w:pStyle w:val="ad"/>
              <w:spacing w:line="240" w:lineRule="auto"/>
              <w:ind w:leftChars="0"/>
              <w:jc w:val="left"/>
              <w:rPr>
                <w:rFonts w:ascii="標楷體" w:eastAsia="標楷體" w:hAnsi="標楷體"/>
                <w:szCs w:val="24"/>
              </w:rPr>
            </w:pPr>
          </w:p>
        </w:tc>
      </w:tr>
      <w:tr w:rsidR="00F51C6C" w:rsidRPr="00F51C6C" w:rsidTr="00F51C6C">
        <w:tc>
          <w:tcPr>
            <w:tcW w:w="3044"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lastRenderedPageBreak/>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w:t>
            </w:r>
            <w:proofErr w:type="gramStart"/>
            <w:r w:rsidRPr="00F51C6C">
              <w:rPr>
                <w:rFonts w:ascii="標楷體" w:eastAsia="標楷體" w:hAnsi="標楷體" w:hint="eastAsia"/>
              </w:rPr>
              <w:t>出現折溢價</w:t>
            </w:r>
            <w:proofErr w:type="gramEnd"/>
            <w:r w:rsidRPr="00F51C6C">
              <w:rPr>
                <w:rFonts w:ascii="標楷體" w:eastAsia="標楷體" w:hAnsi="標楷體" w:hint="eastAsia"/>
              </w:rPr>
              <w:t>等情況，茲承諾投資風險自行負責，特此聲明。</w:t>
            </w: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此致</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u w:val="single"/>
              </w:rPr>
              <w:t xml:space="preserve">        </w:t>
            </w:r>
            <w:r w:rsidRPr="00F51C6C">
              <w:rPr>
                <w:rFonts w:ascii="標楷體" w:eastAsia="標楷體" w:hAnsi="標楷體" w:hint="eastAsia"/>
              </w:rPr>
              <w:t>證券股份有限公司</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kern w:val="0"/>
                <w:szCs w:val="24"/>
                <w:u w:val="single"/>
              </w:rPr>
            </w:pPr>
            <w:r w:rsidRPr="00F51C6C">
              <w:rPr>
                <w:rFonts w:ascii="標楷體" w:eastAsia="標楷體" w:hAnsi="標楷體" w:cs="細明體" w:hint="eastAsia"/>
                <w:kern w:val="0"/>
                <w:szCs w:val="24"/>
              </w:rPr>
              <w:t>委託人：</w:t>
            </w:r>
            <w:r w:rsidRPr="00F51C6C">
              <w:rPr>
                <w:rFonts w:ascii="標楷體" w:eastAsia="標楷體" w:hAnsi="標楷體" w:cs="細明體" w:hint="eastAsia"/>
                <w:kern w:val="0"/>
                <w:szCs w:val="24"/>
                <w:u w:val="single"/>
              </w:rPr>
              <w:t xml:space="preserve">        </w:t>
            </w:r>
            <w:r w:rsidRPr="00F51C6C">
              <w:rPr>
                <w:rFonts w:ascii="標楷體" w:eastAsia="標楷體" w:hAnsi="標楷體" w:hint="eastAsia"/>
                <w:kern w:val="0"/>
                <w:szCs w:val="24"/>
              </w:rPr>
              <w:t>(簽章)</w:t>
            </w:r>
          </w:p>
          <w:p w:rsidR="00F51C6C" w:rsidRPr="00F51C6C" w:rsidRDefault="00F51C6C" w:rsidP="00B21958">
            <w:pPr>
              <w:spacing w:line="240" w:lineRule="auto"/>
              <w:rPr>
                <w:rFonts w:ascii="標楷體" w:eastAsia="標楷體" w:hAnsi="標楷體" w:cs="細明體"/>
                <w:kern w:val="0"/>
                <w:szCs w:val="24"/>
                <w:u w:val="single"/>
              </w:rPr>
            </w:pP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代表人：</w:t>
            </w:r>
            <w:r w:rsidRPr="00F51C6C">
              <w:rPr>
                <w:rFonts w:ascii="標楷體" w:eastAsia="標楷體" w:hAnsi="標楷體" w:hint="eastAsia"/>
                <w:u w:val="single"/>
              </w:rPr>
              <w:t xml:space="preserve">        </w:t>
            </w:r>
            <w:r w:rsidRPr="00F51C6C">
              <w:rPr>
                <w:rFonts w:ascii="標楷體" w:eastAsia="標楷體" w:hAnsi="標楷體" w:hint="eastAsia"/>
              </w:rPr>
              <w:t>(簽章)</w:t>
            </w:r>
          </w:p>
          <w:p w:rsidR="00F51C6C" w:rsidRPr="00F51C6C" w:rsidRDefault="00F51C6C" w:rsidP="00B21958">
            <w:pPr>
              <w:spacing w:line="240" w:lineRule="auto"/>
              <w:rPr>
                <w:rFonts w:ascii="標楷體" w:eastAsia="標楷體" w:hAnsi="標楷體"/>
                <w:u w:val="single"/>
              </w:rPr>
            </w:pPr>
          </w:p>
          <w:p w:rsidR="00F51C6C" w:rsidRPr="00F51C6C" w:rsidRDefault="00F51C6C" w:rsidP="00B21958">
            <w:pPr>
              <w:spacing w:line="240" w:lineRule="auto"/>
              <w:rPr>
                <w:rFonts w:ascii="標楷體" w:eastAsia="標楷體" w:hAnsi="標楷體"/>
                <w:u w:val="single"/>
              </w:rPr>
            </w:pPr>
            <w:r w:rsidRPr="00F51C6C">
              <w:rPr>
                <w:rFonts w:ascii="標楷體" w:eastAsia="標楷體" w:hAnsi="標楷體" w:hint="eastAsia"/>
              </w:rPr>
              <w:t>身分證</w:t>
            </w:r>
            <w:r w:rsidRPr="00F51C6C">
              <w:rPr>
                <w:rFonts w:ascii="標楷體" w:eastAsia="標楷體" w:hAnsi="標楷體" w:hint="eastAsia"/>
                <w:kern w:val="0"/>
                <w:szCs w:val="24"/>
              </w:rPr>
              <w:t>統一編</w:t>
            </w:r>
            <w:r w:rsidRPr="00F51C6C">
              <w:rPr>
                <w:rFonts w:ascii="標楷體" w:eastAsia="標楷體" w:hAnsi="標楷體" w:cs="細明體" w:hint="eastAsia"/>
                <w:kern w:val="0"/>
                <w:szCs w:val="24"/>
              </w:rPr>
              <w:t>號</w:t>
            </w:r>
            <w:r w:rsidRPr="00F51C6C">
              <w:rPr>
                <w:rFonts w:ascii="標楷體" w:eastAsia="標楷體" w:hAnsi="標楷體" w:hint="eastAsia"/>
              </w:rPr>
              <w:t>或</w:t>
            </w:r>
            <w:r w:rsidRPr="00F51C6C">
              <w:rPr>
                <w:rFonts w:ascii="標楷體" w:eastAsia="標楷體" w:hAnsi="標楷體" w:hint="eastAsia"/>
                <w:kern w:val="0"/>
                <w:szCs w:val="24"/>
              </w:rPr>
              <w:t>扣繳單位統一編號</w:t>
            </w:r>
            <w:r w:rsidRPr="00F51C6C">
              <w:rPr>
                <w:rFonts w:ascii="標楷體" w:eastAsia="標楷體" w:hAnsi="標楷體" w:hint="eastAsia"/>
              </w:rPr>
              <w:t>：</w:t>
            </w:r>
            <w:proofErr w:type="gramStart"/>
            <w:r w:rsidRPr="00F51C6C">
              <w:rPr>
                <w:rFonts w:ascii="標楷體" w:eastAsia="標楷體" w:hAnsi="標楷體" w:hint="eastAsia"/>
                <w:u w:val="single"/>
              </w:rPr>
              <w:t>ˉˉˉˉ</w:t>
            </w:r>
            <w:proofErr w:type="gramEnd"/>
            <w:r w:rsidRPr="00F51C6C">
              <w:rPr>
                <w:rFonts w:ascii="標楷體" w:eastAsia="標楷體" w:hAnsi="標楷體" w:hint="eastAsia"/>
                <w:u w:val="single"/>
              </w:rPr>
              <w:t xml:space="preserve">       </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證券商解說人員：</w:t>
            </w:r>
          </w:p>
          <w:p w:rsidR="00F51C6C" w:rsidRPr="00F51C6C" w:rsidRDefault="00F51C6C" w:rsidP="00B21958">
            <w:pPr>
              <w:spacing w:line="240" w:lineRule="auto"/>
              <w:rPr>
                <w:rFonts w:ascii="標楷體" w:eastAsia="標楷體" w:hAnsi="標楷體"/>
                <w:kern w:val="0"/>
                <w:szCs w:val="24"/>
              </w:rPr>
            </w:pPr>
            <w:r w:rsidRPr="00F51C6C">
              <w:rPr>
                <w:rFonts w:ascii="標楷體" w:eastAsia="標楷體" w:hAnsi="標楷體" w:cs="細明體" w:hint="eastAsia"/>
                <w:kern w:val="0"/>
                <w:szCs w:val="24"/>
                <w:u w:val="single"/>
              </w:rPr>
              <w:t xml:space="preserve">                </w:t>
            </w:r>
            <w:r w:rsidRPr="00F51C6C">
              <w:rPr>
                <w:rFonts w:ascii="標楷體" w:eastAsia="標楷體" w:hAnsi="標楷體" w:hint="eastAsia"/>
                <w:kern w:val="0"/>
                <w:szCs w:val="24"/>
              </w:rPr>
              <w:t>(簽章)</w:t>
            </w:r>
          </w:p>
          <w:p w:rsidR="00F51C6C" w:rsidRPr="00F51C6C" w:rsidRDefault="00F51C6C" w:rsidP="00B21958">
            <w:pPr>
              <w:spacing w:line="240" w:lineRule="auto"/>
              <w:rPr>
                <w:rFonts w:ascii="標楷體" w:eastAsia="標楷體" w:hAnsi="標楷體" w:cs="細明體"/>
                <w:kern w:val="0"/>
                <w:szCs w:val="24"/>
              </w:rPr>
            </w:pPr>
          </w:p>
          <w:p w:rsidR="00F51C6C" w:rsidRPr="00F51C6C" w:rsidRDefault="00F51C6C" w:rsidP="00B21958">
            <w:pPr>
              <w:spacing w:line="240" w:lineRule="auto"/>
              <w:rPr>
                <w:rFonts w:ascii="標楷體" w:eastAsia="標楷體" w:hAnsi="標楷體"/>
                <w:kern w:val="0"/>
                <w:szCs w:val="24"/>
              </w:rPr>
            </w:pPr>
            <w:r w:rsidRPr="00F51C6C">
              <w:rPr>
                <w:rFonts w:ascii="標楷體" w:eastAsia="標楷體" w:hAnsi="標楷體" w:hint="eastAsia"/>
                <w:kern w:val="0"/>
                <w:szCs w:val="24"/>
              </w:rPr>
              <w:t>中華民國</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年</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月</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日</w:t>
            </w:r>
          </w:p>
          <w:p w:rsidR="00F51C6C" w:rsidRPr="00F51C6C" w:rsidRDefault="00F51C6C" w:rsidP="00B21958">
            <w:pPr>
              <w:spacing w:line="240" w:lineRule="auto"/>
              <w:rPr>
                <w:rFonts w:ascii="標楷體" w:eastAsia="標楷體" w:hAnsi="標楷體"/>
                <w:kern w:val="0"/>
                <w:szCs w:val="24"/>
                <w:u w:val="single"/>
              </w:rPr>
            </w:pPr>
          </w:p>
          <w:p w:rsidR="00F51C6C" w:rsidRPr="00F51C6C" w:rsidRDefault="00F51C6C" w:rsidP="00B21958">
            <w:pPr>
              <w:spacing w:line="240" w:lineRule="auto"/>
              <w:rPr>
                <w:rFonts w:ascii="標楷體" w:eastAsia="標楷體" w:hAnsi="標楷體"/>
              </w:rPr>
            </w:pPr>
            <w:proofErr w:type="gramStart"/>
            <w:r w:rsidRPr="00F51C6C">
              <w:rPr>
                <w:rFonts w:ascii="標楷體" w:eastAsia="標楷體" w:hAnsi="標楷體" w:hint="eastAsia"/>
              </w:rPr>
              <w:t>（</w:t>
            </w:r>
            <w:proofErr w:type="gramEnd"/>
            <w:r w:rsidRPr="00F51C6C">
              <w:rPr>
                <w:rFonts w:ascii="標楷體" w:eastAsia="標楷體" w:hAnsi="標楷體" w:hint="eastAsia"/>
              </w:rPr>
              <w:t>風險預告書一式二份，一份由證券商留存備查；另一份交由委託人存執</w:t>
            </w:r>
            <w:proofErr w:type="gramStart"/>
            <w:r w:rsidRPr="00F51C6C">
              <w:rPr>
                <w:rFonts w:ascii="標楷體" w:eastAsia="標楷體" w:hAnsi="標楷體" w:hint="eastAsia"/>
              </w:rPr>
              <w:t>）</w:t>
            </w:r>
            <w:proofErr w:type="gramEnd"/>
          </w:p>
        </w:tc>
        <w:tc>
          <w:tcPr>
            <w:tcW w:w="3045" w:type="dxa"/>
          </w:tcPr>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w:t>
            </w:r>
            <w:proofErr w:type="gramStart"/>
            <w:r w:rsidRPr="00F51C6C">
              <w:rPr>
                <w:rFonts w:ascii="標楷體" w:eastAsia="標楷體" w:hAnsi="標楷體" w:hint="eastAsia"/>
              </w:rPr>
              <w:t>出現折溢價</w:t>
            </w:r>
            <w:proofErr w:type="gramEnd"/>
            <w:r w:rsidRPr="00F51C6C">
              <w:rPr>
                <w:rFonts w:ascii="標楷體" w:eastAsia="標楷體" w:hAnsi="標楷體" w:hint="eastAsia"/>
              </w:rPr>
              <w:t>等情況，茲承諾投資風險自行負責，特此聲明。</w:t>
            </w: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此致</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u w:val="single"/>
              </w:rPr>
              <w:t xml:space="preserve">        </w:t>
            </w:r>
            <w:r w:rsidRPr="00F51C6C">
              <w:rPr>
                <w:rFonts w:ascii="標楷體" w:eastAsia="標楷體" w:hAnsi="標楷體" w:hint="eastAsia"/>
              </w:rPr>
              <w:t>證券股份有限公司</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kern w:val="0"/>
                <w:szCs w:val="24"/>
              </w:rPr>
            </w:pPr>
            <w:r w:rsidRPr="00F51C6C">
              <w:rPr>
                <w:rFonts w:ascii="標楷體" w:eastAsia="標楷體" w:hAnsi="標楷體" w:cs="細明體" w:hint="eastAsia"/>
                <w:kern w:val="0"/>
                <w:szCs w:val="24"/>
              </w:rPr>
              <w:t>委託人：</w:t>
            </w:r>
            <w:r w:rsidRPr="00F51C6C">
              <w:rPr>
                <w:rFonts w:ascii="標楷體" w:eastAsia="標楷體" w:hAnsi="標楷體" w:cs="細明體" w:hint="eastAsia"/>
                <w:kern w:val="0"/>
                <w:szCs w:val="24"/>
                <w:u w:val="single"/>
              </w:rPr>
              <w:t xml:space="preserve">        </w:t>
            </w:r>
            <w:r w:rsidRPr="00F51C6C">
              <w:rPr>
                <w:rFonts w:ascii="標楷體" w:eastAsia="標楷體" w:hAnsi="標楷體" w:hint="eastAsia"/>
                <w:kern w:val="0"/>
                <w:szCs w:val="24"/>
              </w:rPr>
              <w:t>(簽章)</w:t>
            </w:r>
          </w:p>
          <w:p w:rsidR="00F51C6C" w:rsidRPr="00F51C6C" w:rsidRDefault="00F51C6C" w:rsidP="00B21958">
            <w:pPr>
              <w:spacing w:line="240" w:lineRule="auto"/>
              <w:rPr>
                <w:rFonts w:ascii="標楷體" w:eastAsia="標楷體" w:hAnsi="標楷體" w:cs="細明體"/>
                <w:kern w:val="0"/>
                <w:szCs w:val="24"/>
              </w:rPr>
            </w:pPr>
          </w:p>
          <w:p w:rsidR="00F51C6C" w:rsidRPr="00F51C6C" w:rsidRDefault="00F51C6C" w:rsidP="00B21958">
            <w:pPr>
              <w:spacing w:line="240" w:lineRule="auto"/>
              <w:rPr>
                <w:rFonts w:ascii="標楷體" w:eastAsia="標楷體" w:hAnsi="標楷體"/>
              </w:rPr>
            </w:pPr>
            <w:r w:rsidRPr="00F51C6C">
              <w:rPr>
                <w:rFonts w:ascii="標楷體" w:eastAsia="標楷體" w:hAnsi="標楷體" w:hint="eastAsia"/>
              </w:rPr>
              <w:t>代表人：</w:t>
            </w:r>
            <w:r w:rsidRPr="00F51C6C">
              <w:rPr>
                <w:rFonts w:ascii="標楷體" w:eastAsia="標楷體" w:hAnsi="標楷體" w:hint="eastAsia"/>
                <w:u w:val="single"/>
              </w:rPr>
              <w:t xml:space="preserve">        </w:t>
            </w:r>
            <w:r w:rsidRPr="00F51C6C">
              <w:rPr>
                <w:rFonts w:ascii="標楷體" w:eastAsia="標楷體" w:hAnsi="標楷體" w:hint="eastAsia"/>
              </w:rPr>
              <w:t>(簽章)</w:t>
            </w:r>
          </w:p>
          <w:p w:rsidR="00F51C6C" w:rsidRPr="00F51C6C" w:rsidRDefault="00F51C6C" w:rsidP="00B21958">
            <w:pPr>
              <w:spacing w:line="240" w:lineRule="auto"/>
              <w:rPr>
                <w:rFonts w:ascii="標楷體" w:eastAsia="標楷體" w:hAnsi="標楷體"/>
                <w:u w:val="single"/>
              </w:rPr>
            </w:pPr>
          </w:p>
          <w:p w:rsidR="00F51C6C" w:rsidRPr="00F51C6C" w:rsidRDefault="00F51C6C" w:rsidP="00B21958">
            <w:pPr>
              <w:spacing w:line="240" w:lineRule="auto"/>
              <w:rPr>
                <w:rFonts w:ascii="標楷體" w:eastAsia="標楷體" w:hAnsi="標楷體"/>
                <w:u w:val="single"/>
              </w:rPr>
            </w:pPr>
            <w:r w:rsidRPr="00F51C6C">
              <w:rPr>
                <w:rFonts w:ascii="標楷體" w:eastAsia="標楷體" w:hAnsi="標楷體" w:hint="eastAsia"/>
              </w:rPr>
              <w:t>身分證</w:t>
            </w:r>
            <w:r w:rsidRPr="00F51C6C">
              <w:rPr>
                <w:rFonts w:ascii="標楷體" w:eastAsia="標楷體" w:hAnsi="標楷體" w:hint="eastAsia"/>
                <w:kern w:val="0"/>
                <w:szCs w:val="24"/>
              </w:rPr>
              <w:t>統一編</w:t>
            </w:r>
            <w:r w:rsidRPr="00F51C6C">
              <w:rPr>
                <w:rFonts w:ascii="標楷體" w:eastAsia="標楷體" w:hAnsi="標楷體" w:cs="細明體" w:hint="eastAsia"/>
                <w:kern w:val="0"/>
                <w:szCs w:val="24"/>
              </w:rPr>
              <w:t>號</w:t>
            </w:r>
            <w:r w:rsidRPr="00F51C6C">
              <w:rPr>
                <w:rFonts w:ascii="標楷體" w:eastAsia="標楷體" w:hAnsi="標楷體" w:hint="eastAsia"/>
              </w:rPr>
              <w:t>或</w:t>
            </w:r>
            <w:r w:rsidRPr="00F51C6C">
              <w:rPr>
                <w:rFonts w:ascii="標楷體" w:eastAsia="標楷體" w:hAnsi="標楷體" w:hint="eastAsia"/>
                <w:kern w:val="0"/>
                <w:szCs w:val="24"/>
              </w:rPr>
              <w:t>扣繳單位統一編號</w:t>
            </w:r>
            <w:r w:rsidRPr="00F51C6C">
              <w:rPr>
                <w:rFonts w:ascii="標楷體" w:eastAsia="標楷體" w:hAnsi="標楷體" w:hint="eastAsia"/>
              </w:rPr>
              <w:t>：</w:t>
            </w:r>
            <w:proofErr w:type="gramStart"/>
            <w:r w:rsidRPr="00F51C6C">
              <w:rPr>
                <w:rFonts w:ascii="標楷體" w:eastAsia="標楷體" w:hAnsi="標楷體" w:hint="eastAsia"/>
                <w:u w:val="single"/>
              </w:rPr>
              <w:t>ˉˉˉˉ</w:t>
            </w:r>
            <w:proofErr w:type="gramEnd"/>
            <w:r w:rsidRPr="00F51C6C">
              <w:rPr>
                <w:rFonts w:ascii="標楷體" w:eastAsia="標楷體" w:hAnsi="標楷體" w:hint="eastAsia"/>
                <w:u w:val="single"/>
              </w:rPr>
              <w:t xml:space="preserve">       </w:t>
            </w:r>
          </w:p>
          <w:p w:rsidR="00F51C6C" w:rsidRPr="00F51C6C" w:rsidRDefault="00F51C6C" w:rsidP="00B21958">
            <w:pPr>
              <w:spacing w:line="240" w:lineRule="auto"/>
              <w:rPr>
                <w:rFonts w:ascii="標楷體" w:eastAsia="標楷體" w:hAnsi="標楷體"/>
              </w:rPr>
            </w:pPr>
          </w:p>
          <w:p w:rsidR="00F51C6C" w:rsidRPr="00F51C6C" w:rsidRDefault="00F51C6C" w:rsidP="00B21958">
            <w:pPr>
              <w:spacing w:line="240" w:lineRule="auto"/>
              <w:rPr>
                <w:rFonts w:ascii="標楷體" w:eastAsia="標楷體" w:hAnsi="標楷體" w:cs="細明體"/>
                <w:kern w:val="0"/>
                <w:szCs w:val="24"/>
              </w:rPr>
            </w:pPr>
            <w:r w:rsidRPr="00F51C6C">
              <w:rPr>
                <w:rFonts w:ascii="標楷體" w:eastAsia="標楷體" w:hAnsi="標楷體" w:cs="細明體" w:hint="eastAsia"/>
                <w:kern w:val="0"/>
                <w:szCs w:val="24"/>
              </w:rPr>
              <w:t>證券商解說人員：</w:t>
            </w:r>
          </w:p>
          <w:p w:rsidR="00F51C6C" w:rsidRPr="00F51C6C" w:rsidRDefault="00F51C6C" w:rsidP="00B21958">
            <w:pPr>
              <w:spacing w:line="240" w:lineRule="auto"/>
              <w:rPr>
                <w:rFonts w:ascii="標楷體" w:eastAsia="標楷體" w:hAnsi="標楷體"/>
                <w:kern w:val="0"/>
                <w:szCs w:val="24"/>
              </w:rPr>
            </w:pPr>
            <w:r w:rsidRPr="00F51C6C">
              <w:rPr>
                <w:rFonts w:ascii="標楷體" w:eastAsia="標楷體" w:hAnsi="標楷體" w:cs="細明體" w:hint="eastAsia"/>
                <w:kern w:val="0"/>
                <w:szCs w:val="24"/>
                <w:u w:val="single"/>
              </w:rPr>
              <w:t xml:space="preserve">                </w:t>
            </w:r>
            <w:r w:rsidRPr="00F51C6C">
              <w:rPr>
                <w:rFonts w:ascii="標楷體" w:eastAsia="標楷體" w:hAnsi="標楷體" w:hint="eastAsia"/>
                <w:kern w:val="0"/>
                <w:szCs w:val="24"/>
              </w:rPr>
              <w:t>(簽章)</w:t>
            </w:r>
          </w:p>
          <w:p w:rsidR="00F51C6C" w:rsidRPr="00F51C6C" w:rsidRDefault="00F51C6C" w:rsidP="00B21958">
            <w:pPr>
              <w:spacing w:line="240" w:lineRule="auto"/>
              <w:rPr>
                <w:rFonts w:ascii="標楷體" w:eastAsia="標楷體" w:hAnsi="標楷體" w:cs="細明體"/>
                <w:kern w:val="0"/>
                <w:szCs w:val="24"/>
              </w:rPr>
            </w:pPr>
          </w:p>
          <w:p w:rsidR="00F51C6C" w:rsidRPr="00F51C6C" w:rsidRDefault="00F51C6C" w:rsidP="00B21958">
            <w:pPr>
              <w:spacing w:line="240" w:lineRule="auto"/>
              <w:rPr>
                <w:rFonts w:ascii="標楷體" w:eastAsia="標楷體" w:hAnsi="標楷體"/>
                <w:kern w:val="0"/>
                <w:szCs w:val="24"/>
              </w:rPr>
            </w:pPr>
            <w:r w:rsidRPr="00F51C6C">
              <w:rPr>
                <w:rFonts w:ascii="標楷體" w:eastAsia="標楷體" w:hAnsi="標楷體" w:hint="eastAsia"/>
                <w:kern w:val="0"/>
                <w:szCs w:val="24"/>
              </w:rPr>
              <w:t>中華民國</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年</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月</w:t>
            </w:r>
            <w:r w:rsidRPr="00F51C6C">
              <w:rPr>
                <w:rFonts w:ascii="標楷體" w:eastAsia="標楷體" w:hAnsi="標楷體" w:hint="eastAsia"/>
                <w:kern w:val="0"/>
                <w:szCs w:val="24"/>
                <w:u w:val="single"/>
              </w:rPr>
              <w:t xml:space="preserve">   </w:t>
            </w:r>
            <w:r w:rsidRPr="00F51C6C">
              <w:rPr>
                <w:rFonts w:ascii="標楷體" w:eastAsia="標楷體" w:hAnsi="標楷體" w:hint="eastAsia"/>
                <w:kern w:val="0"/>
                <w:szCs w:val="24"/>
              </w:rPr>
              <w:t>日</w:t>
            </w:r>
          </w:p>
          <w:p w:rsidR="00F51C6C" w:rsidRPr="00F51C6C" w:rsidRDefault="00F51C6C" w:rsidP="00B21958">
            <w:pPr>
              <w:spacing w:line="240" w:lineRule="auto"/>
              <w:rPr>
                <w:rFonts w:ascii="標楷體" w:eastAsia="標楷體" w:hAnsi="標楷體"/>
                <w:kern w:val="0"/>
                <w:szCs w:val="24"/>
                <w:u w:val="single"/>
              </w:rPr>
            </w:pPr>
          </w:p>
          <w:p w:rsidR="00F51C6C" w:rsidRPr="00F51C6C" w:rsidRDefault="00F51C6C" w:rsidP="00B21958">
            <w:pPr>
              <w:spacing w:line="240" w:lineRule="auto"/>
              <w:rPr>
                <w:rFonts w:ascii="標楷體" w:eastAsia="標楷體" w:hAnsi="標楷體"/>
              </w:rPr>
            </w:pPr>
            <w:proofErr w:type="gramStart"/>
            <w:r w:rsidRPr="00F51C6C">
              <w:rPr>
                <w:rFonts w:ascii="標楷體" w:eastAsia="標楷體" w:hAnsi="標楷體" w:hint="eastAsia"/>
              </w:rPr>
              <w:t>（</w:t>
            </w:r>
            <w:proofErr w:type="gramEnd"/>
            <w:r w:rsidRPr="00F51C6C">
              <w:rPr>
                <w:rFonts w:ascii="標楷體" w:eastAsia="標楷體" w:hAnsi="標楷體" w:hint="eastAsia"/>
              </w:rPr>
              <w:t>風險預告書一式二份，一份由證券商留存備查；另一份交由委託人存執</w:t>
            </w:r>
            <w:proofErr w:type="gramStart"/>
            <w:r w:rsidRPr="00F51C6C">
              <w:rPr>
                <w:rFonts w:ascii="標楷體" w:eastAsia="標楷體" w:hAnsi="標楷體" w:hint="eastAsia"/>
              </w:rPr>
              <w:t>）</w:t>
            </w:r>
            <w:proofErr w:type="gramEnd"/>
          </w:p>
        </w:tc>
        <w:tc>
          <w:tcPr>
            <w:tcW w:w="2524" w:type="dxa"/>
          </w:tcPr>
          <w:p w:rsidR="00F51C6C" w:rsidRPr="00F51C6C" w:rsidRDefault="00F51C6C" w:rsidP="004D5794">
            <w:pPr>
              <w:spacing w:line="240" w:lineRule="auto"/>
              <w:jc w:val="left"/>
              <w:rPr>
                <w:rFonts w:ascii="標楷體" w:eastAsia="標楷體" w:hAnsi="標楷體"/>
                <w:szCs w:val="24"/>
              </w:rPr>
            </w:pPr>
          </w:p>
        </w:tc>
      </w:tr>
    </w:tbl>
    <w:p w:rsidR="00746138" w:rsidRPr="00F51C6C" w:rsidRDefault="00746138" w:rsidP="00FA327A">
      <w:pPr>
        <w:widowControl/>
        <w:spacing w:line="240" w:lineRule="auto"/>
        <w:rPr>
          <w:rFonts w:ascii="標楷體" w:eastAsia="標楷體" w:hAnsi="標楷體"/>
          <w:szCs w:val="24"/>
        </w:rPr>
      </w:pPr>
    </w:p>
    <w:sectPr w:rsidR="00746138" w:rsidRPr="00F51C6C" w:rsidSect="00F51C6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D8" w:rsidRDefault="00FA2BD8" w:rsidP="00CF0559">
      <w:r>
        <w:separator/>
      </w:r>
    </w:p>
  </w:endnote>
  <w:endnote w:type="continuationSeparator" w:id="0">
    <w:p w:rsidR="00FA2BD8" w:rsidRDefault="00FA2BD8"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184"/>
      <w:docPartObj>
        <w:docPartGallery w:val="Page Numbers (Bottom of Page)"/>
        <w:docPartUnique/>
      </w:docPartObj>
    </w:sdtPr>
    <w:sdtContent>
      <w:p w:rsidR="005E52D5" w:rsidRDefault="00356E19">
        <w:pPr>
          <w:pStyle w:val="aa"/>
          <w:jc w:val="right"/>
        </w:pPr>
        <w:fldSimple w:instr=" PAGE   \* MERGEFORMAT ">
          <w:r w:rsidR="000B2536" w:rsidRPr="000B2536">
            <w:rPr>
              <w:noProof/>
              <w:lang w:val="zh-TW"/>
            </w:rPr>
            <w:t>11</w:t>
          </w:r>
        </w:fldSimple>
      </w:p>
    </w:sdtContent>
  </w:sdt>
  <w:p w:rsidR="005E52D5" w:rsidRDefault="005E52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D8" w:rsidRDefault="00FA2BD8" w:rsidP="00CF0559">
      <w:r>
        <w:separator/>
      </w:r>
    </w:p>
  </w:footnote>
  <w:footnote w:type="continuationSeparator" w:id="0">
    <w:p w:rsidR="00FA2BD8" w:rsidRDefault="00FA2BD8"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E6C"/>
    <w:multiLevelType w:val="hybridMultilevel"/>
    <w:tmpl w:val="474ED364"/>
    <w:lvl w:ilvl="0" w:tplc="D360A87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6096D"/>
    <w:multiLevelType w:val="hybridMultilevel"/>
    <w:tmpl w:val="8730C22C"/>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6086C"/>
    <w:multiLevelType w:val="hybridMultilevel"/>
    <w:tmpl w:val="9C4A73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76F24"/>
    <w:multiLevelType w:val="hybridMultilevel"/>
    <w:tmpl w:val="764813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C061D4"/>
    <w:multiLevelType w:val="hybridMultilevel"/>
    <w:tmpl w:val="A5CE704A"/>
    <w:lvl w:ilvl="0" w:tplc="D930870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C37176"/>
    <w:multiLevelType w:val="hybridMultilevel"/>
    <w:tmpl w:val="25A0EAD2"/>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DE03EF"/>
    <w:multiLevelType w:val="hybridMultilevel"/>
    <w:tmpl w:val="1A4AFC4C"/>
    <w:lvl w:ilvl="0" w:tplc="FF760996">
      <w:start w:val="1"/>
      <w:numFmt w:val="taiwaneseCountingThousand"/>
      <w:lvlText w:val="%1、"/>
      <w:lvlJc w:val="left"/>
      <w:pPr>
        <w:ind w:left="585" w:hanging="5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3F7F9C"/>
    <w:multiLevelType w:val="hybridMultilevel"/>
    <w:tmpl w:val="E12A9ECE"/>
    <w:lvl w:ilvl="0" w:tplc="D63A1B9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7301B8"/>
    <w:multiLevelType w:val="hybridMultilevel"/>
    <w:tmpl w:val="7E481D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A46E26"/>
    <w:multiLevelType w:val="hybridMultilevel"/>
    <w:tmpl w:val="18861002"/>
    <w:lvl w:ilvl="0" w:tplc="E6A86662">
      <w:start w:val="1"/>
      <w:numFmt w:val="taiwaneseCountingThousand"/>
      <w:lvlText w:val="%1、"/>
      <w:lvlJc w:val="left"/>
      <w:pPr>
        <w:ind w:left="585" w:hanging="5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02031E"/>
    <w:multiLevelType w:val="hybridMultilevel"/>
    <w:tmpl w:val="C8EC82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EF0C51"/>
    <w:multiLevelType w:val="hybridMultilevel"/>
    <w:tmpl w:val="C4906C36"/>
    <w:lvl w:ilvl="0" w:tplc="B59CB9D6">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3A14F2"/>
    <w:multiLevelType w:val="hybridMultilevel"/>
    <w:tmpl w:val="D3F270FC"/>
    <w:lvl w:ilvl="0" w:tplc="92F2E08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BB00AA"/>
    <w:multiLevelType w:val="hybridMultilevel"/>
    <w:tmpl w:val="3C8E6D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B04A62"/>
    <w:multiLevelType w:val="hybridMultilevel"/>
    <w:tmpl w:val="9E722A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E33F8E"/>
    <w:multiLevelType w:val="hybridMultilevel"/>
    <w:tmpl w:val="F59C2B24"/>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0861D4"/>
    <w:multiLevelType w:val="hybridMultilevel"/>
    <w:tmpl w:val="E76A6D3C"/>
    <w:lvl w:ilvl="0" w:tplc="52FE4AC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7D5E46B0"/>
    <w:multiLevelType w:val="hybridMultilevel"/>
    <w:tmpl w:val="9D146FE2"/>
    <w:lvl w:ilvl="0" w:tplc="F45880BE">
      <w:start w:val="1"/>
      <w:numFmt w:val="taiwaneseCountingThousand"/>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num w:numId="1">
    <w:abstractNumId w:val="18"/>
  </w:num>
  <w:num w:numId="2">
    <w:abstractNumId w:val="17"/>
  </w:num>
  <w:num w:numId="3">
    <w:abstractNumId w:val="0"/>
  </w:num>
  <w:num w:numId="4">
    <w:abstractNumId w:val="3"/>
  </w:num>
  <w:num w:numId="5">
    <w:abstractNumId w:val="15"/>
  </w:num>
  <w:num w:numId="6">
    <w:abstractNumId w:val="4"/>
  </w:num>
  <w:num w:numId="7">
    <w:abstractNumId w:val="7"/>
  </w:num>
  <w:num w:numId="8">
    <w:abstractNumId w:val="9"/>
  </w:num>
  <w:num w:numId="9">
    <w:abstractNumId w:val="6"/>
  </w:num>
  <w:num w:numId="10">
    <w:abstractNumId w:val="11"/>
  </w:num>
  <w:num w:numId="11">
    <w:abstractNumId w:val="13"/>
  </w:num>
  <w:num w:numId="12">
    <w:abstractNumId w:val="10"/>
  </w:num>
  <w:num w:numId="13">
    <w:abstractNumId w:val="12"/>
  </w:num>
  <w:num w:numId="14">
    <w:abstractNumId w:val="14"/>
  </w:num>
  <w:num w:numId="15">
    <w:abstractNumId w:val="5"/>
  </w:num>
  <w:num w:numId="16">
    <w:abstractNumId w:val="2"/>
  </w:num>
  <w:num w:numId="17">
    <w:abstractNumId w:val="16"/>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8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2552"/>
    <w:rsid w:val="0000783B"/>
    <w:rsid w:val="0001064E"/>
    <w:rsid w:val="000257DD"/>
    <w:rsid w:val="0002757F"/>
    <w:rsid w:val="00034F7A"/>
    <w:rsid w:val="0003665F"/>
    <w:rsid w:val="00036D5C"/>
    <w:rsid w:val="0004233E"/>
    <w:rsid w:val="0004500D"/>
    <w:rsid w:val="0004698E"/>
    <w:rsid w:val="00052E92"/>
    <w:rsid w:val="00055186"/>
    <w:rsid w:val="00064604"/>
    <w:rsid w:val="00065E29"/>
    <w:rsid w:val="00071D33"/>
    <w:rsid w:val="00077A0B"/>
    <w:rsid w:val="00082BC1"/>
    <w:rsid w:val="00092A26"/>
    <w:rsid w:val="00094F02"/>
    <w:rsid w:val="00096143"/>
    <w:rsid w:val="000A1408"/>
    <w:rsid w:val="000A1A56"/>
    <w:rsid w:val="000A2B5D"/>
    <w:rsid w:val="000A624B"/>
    <w:rsid w:val="000A7EBF"/>
    <w:rsid w:val="000B2536"/>
    <w:rsid w:val="000B49E6"/>
    <w:rsid w:val="000B6B6F"/>
    <w:rsid w:val="000C0E5C"/>
    <w:rsid w:val="000C2039"/>
    <w:rsid w:val="000D4405"/>
    <w:rsid w:val="000D4B3E"/>
    <w:rsid w:val="000D505C"/>
    <w:rsid w:val="000D5723"/>
    <w:rsid w:val="000E281C"/>
    <w:rsid w:val="000F0873"/>
    <w:rsid w:val="000F1898"/>
    <w:rsid w:val="00114F18"/>
    <w:rsid w:val="00124229"/>
    <w:rsid w:val="00127D2A"/>
    <w:rsid w:val="00135B8F"/>
    <w:rsid w:val="00136ADB"/>
    <w:rsid w:val="00136F66"/>
    <w:rsid w:val="00137EB7"/>
    <w:rsid w:val="00140753"/>
    <w:rsid w:val="00143C53"/>
    <w:rsid w:val="0014666A"/>
    <w:rsid w:val="00146FEB"/>
    <w:rsid w:val="001536F7"/>
    <w:rsid w:val="0016340D"/>
    <w:rsid w:val="00165299"/>
    <w:rsid w:val="001661FF"/>
    <w:rsid w:val="001703D1"/>
    <w:rsid w:val="0017344D"/>
    <w:rsid w:val="00184CCA"/>
    <w:rsid w:val="001958F1"/>
    <w:rsid w:val="00196865"/>
    <w:rsid w:val="00196ADD"/>
    <w:rsid w:val="00197762"/>
    <w:rsid w:val="001A0296"/>
    <w:rsid w:val="001A51ED"/>
    <w:rsid w:val="001A523A"/>
    <w:rsid w:val="001A5333"/>
    <w:rsid w:val="001A66BB"/>
    <w:rsid w:val="001B0BFA"/>
    <w:rsid w:val="001B5306"/>
    <w:rsid w:val="001B55BE"/>
    <w:rsid w:val="001C36D6"/>
    <w:rsid w:val="001C6365"/>
    <w:rsid w:val="001D3156"/>
    <w:rsid w:val="001E4D7B"/>
    <w:rsid w:val="001E7321"/>
    <w:rsid w:val="001F4DC6"/>
    <w:rsid w:val="00205B6F"/>
    <w:rsid w:val="00205F22"/>
    <w:rsid w:val="00211F4F"/>
    <w:rsid w:val="00222C82"/>
    <w:rsid w:val="00231AF2"/>
    <w:rsid w:val="002336FD"/>
    <w:rsid w:val="00241615"/>
    <w:rsid w:val="00241EC8"/>
    <w:rsid w:val="0024671E"/>
    <w:rsid w:val="00255E52"/>
    <w:rsid w:val="00265D46"/>
    <w:rsid w:val="002671EE"/>
    <w:rsid w:val="00280019"/>
    <w:rsid w:val="0029542E"/>
    <w:rsid w:val="00296F9D"/>
    <w:rsid w:val="002A6DE0"/>
    <w:rsid w:val="002B6E92"/>
    <w:rsid w:val="002B712E"/>
    <w:rsid w:val="002C1547"/>
    <w:rsid w:val="002C20ED"/>
    <w:rsid w:val="002C3D54"/>
    <w:rsid w:val="002C79C9"/>
    <w:rsid w:val="002D2050"/>
    <w:rsid w:val="002D4346"/>
    <w:rsid w:val="002F0596"/>
    <w:rsid w:val="002F0894"/>
    <w:rsid w:val="00303606"/>
    <w:rsid w:val="00330438"/>
    <w:rsid w:val="003308DD"/>
    <w:rsid w:val="00340732"/>
    <w:rsid w:val="00350F3F"/>
    <w:rsid w:val="00353D07"/>
    <w:rsid w:val="00353FB0"/>
    <w:rsid w:val="00356E19"/>
    <w:rsid w:val="00364DD3"/>
    <w:rsid w:val="0037438B"/>
    <w:rsid w:val="0038080F"/>
    <w:rsid w:val="00382E6E"/>
    <w:rsid w:val="00393983"/>
    <w:rsid w:val="00396510"/>
    <w:rsid w:val="00396BC3"/>
    <w:rsid w:val="003A10AC"/>
    <w:rsid w:val="003A5165"/>
    <w:rsid w:val="003A77E8"/>
    <w:rsid w:val="003B0941"/>
    <w:rsid w:val="003B26F3"/>
    <w:rsid w:val="003C7D42"/>
    <w:rsid w:val="003D04D2"/>
    <w:rsid w:val="003E37A0"/>
    <w:rsid w:val="003E3A9D"/>
    <w:rsid w:val="003F03C4"/>
    <w:rsid w:val="003F2F17"/>
    <w:rsid w:val="003F3D6E"/>
    <w:rsid w:val="00401480"/>
    <w:rsid w:val="00411357"/>
    <w:rsid w:val="0041281B"/>
    <w:rsid w:val="004140F2"/>
    <w:rsid w:val="0042062A"/>
    <w:rsid w:val="00427BE0"/>
    <w:rsid w:val="004302DF"/>
    <w:rsid w:val="0044189C"/>
    <w:rsid w:val="004425FD"/>
    <w:rsid w:val="004444D9"/>
    <w:rsid w:val="00445E89"/>
    <w:rsid w:val="00447645"/>
    <w:rsid w:val="00453896"/>
    <w:rsid w:val="0045660B"/>
    <w:rsid w:val="00464AA0"/>
    <w:rsid w:val="00466ADB"/>
    <w:rsid w:val="00477D08"/>
    <w:rsid w:val="004838D5"/>
    <w:rsid w:val="004876BA"/>
    <w:rsid w:val="0049567A"/>
    <w:rsid w:val="004A2805"/>
    <w:rsid w:val="004B14BE"/>
    <w:rsid w:val="004B50D6"/>
    <w:rsid w:val="004B603F"/>
    <w:rsid w:val="004C40D0"/>
    <w:rsid w:val="004C47B5"/>
    <w:rsid w:val="004C4B05"/>
    <w:rsid w:val="004C5926"/>
    <w:rsid w:val="004C6587"/>
    <w:rsid w:val="004C6A9B"/>
    <w:rsid w:val="004D11E9"/>
    <w:rsid w:val="004D4004"/>
    <w:rsid w:val="004D5794"/>
    <w:rsid w:val="004E59B9"/>
    <w:rsid w:val="004F3115"/>
    <w:rsid w:val="004F43E1"/>
    <w:rsid w:val="004F5B8B"/>
    <w:rsid w:val="0050337F"/>
    <w:rsid w:val="00505D61"/>
    <w:rsid w:val="00510269"/>
    <w:rsid w:val="00512CC7"/>
    <w:rsid w:val="0051535B"/>
    <w:rsid w:val="005218CD"/>
    <w:rsid w:val="00522410"/>
    <w:rsid w:val="0053159E"/>
    <w:rsid w:val="005330A0"/>
    <w:rsid w:val="005351CA"/>
    <w:rsid w:val="00537822"/>
    <w:rsid w:val="00551CC9"/>
    <w:rsid w:val="00552068"/>
    <w:rsid w:val="0055277F"/>
    <w:rsid w:val="00553CAB"/>
    <w:rsid w:val="00556CDE"/>
    <w:rsid w:val="00557D51"/>
    <w:rsid w:val="005647FC"/>
    <w:rsid w:val="0057021A"/>
    <w:rsid w:val="0057557D"/>
    <w:rsid w:val="00575711"/>
    <w:rsid w:val="00575821"/>
    <w:rsid w:val="005863B8"/>
    <w:rsid w:val="005A3D93"/>
    <w:rsid w:val="005A4CF2"/>
    <w:rsid w:val="005B15F9"/>
    <w:rsid w:val="005C30A9"/>
    <w:rsid w:val="005C6CE7"/>
    <w:rsid w:val="005D4AF0"/>
    <w:rsid w:val="005D4D0D"/>
    <w:rsid w:val="005E52D5"/>
    <w:rsid w:val="006026A8"/>
    <w:rsid w:val="006064A0"/>
    <w:rsid w:val="00606D72"/>
    <w:rsid w:val="00610767"/>
    <w:rsid w:val="00613D9C"/>
    <w:rsid w:val="00615CB0"/>
    <w:rsid w:val="00621219"/>
    <w:rsid w:val="00627BE4"/>
    <w:rsid w:val="00634939"/>
    <w:rsid w:val="00636388"/>
    <w:rsid w:val="006434CD"/>
    <w:rsid w:val="00652A87"/>
    <w:rsid w:val="006562A5"/>
    <w:rsid w:val="0065777E"/>
    <w:rsid w:val="00663984"/>
    <w:rsid w:val="00673C51"/>
    <w:rsid w:val="006757F9"/>
    <w:rsid w:val="006774C9"/>
    <w:rsid w:val="0068374C"/>
    <w:rsid w:val="0068484A"/>
    <w:rsid w:val="00686604"/>
    <w:rsid w:val="006867B5"/>
    <w:rsid w:val="00695FD6"/>
    <w:rsid w:val="006A0F77"/>
    <w:rsid w:val="006A0F85"/>
    <w:rsid w:val="006A1C34"/>
    <w:rsid w:val="006A3C78"/>
    <w:rsid w:val="006A6C14"/>
    <w:rsid w:val="006B34DD"/>
    <w:rsid w:val="006B5383"/>
    <w:rsid w:val="006C28AF"/>
    <w:rsid w:val="006D009E"/>
    <w:rsid w:val="006D0C0C"/>
    <w:rsid w:val="006D209F"/>
    <w:rsid w:val="006D3AA1"/>
    <w:rsid w:val="006D66BA"/>
    <w:rsid w:val="006E1AAA"/>
    <w:rsid w:val="006E358B"/>
    <w:rsid w:val="006E4206"/>
    <w:rsid w:val="006E6535"/>
    <w:rsid w:val="006F1960"/>
    <w:rsid w:val="006F2EBE"/>
    <w:rsid w:val="006F4208"/>
    <w:rsid w:val="0070056A"/>
    <w:rsid w:val="00700F8E"/>
    <w:rsid w:val="00701B3A"/>
    <w:rsid w:val="007044EE"/>
    <w:rsid w:val="00707247"/>
    <w:rsid w:val="0071269C"/>
    <w:rsid w:val="00713627"/>
    <w:rsid w:val="00720E3B"/>
    <w:rsid w:val="00722298"/>
    <w:rsid w:val="00732122"/>
    <w:rsid w:val="00732FB5"/>
    <w:rsid w:val="00746138"/>
    <w:rsid w:val="007471FC"/>
    <w:rsid w:val="00756D72"/>
    <w:rsid w:val="007611ED"/>
    <w:rsid w:val="007748FC"/>
    <w:rsid w:val="007759EC"/>
    <w:rsid w:val="007767AF"/>
    <w:rsid w:val="00782D5F"/>
    <w:rsid w:val="0078339D"/>
    <w:rsid w:val="00785B4C"/>
    <w:rsid w:val="007A042C"/>
    <w:rsid w:val="007A0BA4"/>
    <w:rsid w:val="007B73A6"/>
    <w:rsid w:val="007C4A39"/>
    <w:rsid w:val="007C4D50"/>
    <w:rsid w:val="007D2E5C"/>
    <w:rsid w:val="007D5444"/>
    <w:rsid w:val="007E22CB"/>
    <w:rsid w:val="007E331A"/>
    <w:rsid w:val="007F259F"/>
    <w:rsid w:val="00805E1B"/>
    <w:rsid w:val="00806503"/>
    <w:rsid w:val="00811C04"/>
    <w:rsid w:val="008122F6"/>
    <w:rsid w:val="008130F7"/>
    <w:rsid w:val="00816B54"/>
    <w:rsid w:val="0082017F"/>
    <w:rsid w:val="008236FA"/>
    <w:rsid w:val="00830E89"/>
    <w:rsid w:val="00832B04"/>
    <w:rsid w:val="008401F1"/>
    <w:rsid w:val="00841E38"/>
    <w:rsid w:val="00844428"/>
    <w:rsid w:val="008466F5"/>
    <w:rsid w:val="0085091E"/>
    <w:rsid w:val="00851C80"/>
    <w:rsid w:val="008526C4"/>
    <w:rsid w:val="00860D90"/>
    <w:rsid w:val="008678F6"/>
    <w:rsid w:val="008719E6"/>
    <w:rsid w:val="00876A5C"/>
    <w:rsid w:val="00886617"/>
    <w:rsid w:val="00897ADA"/>
    <w:rsid w:val="008A74E7"/>
    <w:rsid w:val="008B1A7E"/>
    <w:rsid w:val="008B778B"/>
    <w:rsid w:val="008C0253"/>
    <w:rsid w:val="008D09C9"/>
    <w:rsid w:val="008D73FE"/>
    <w:rsid w:val="008D7C94"/>
    <w:rsid w:val="008E06D1"/>
    <w:rsid w:val="008E2A04"/>
    <w:rsid w:val="008E3DB6"/>
    <w:rsid w:val="008F3B36"/>
    <w:rsid w:val="008F5E81"/>
    <w:rsid w:val="008F7D96"/>
    <w:rsid w:val="00902521"/>
    <w:rsid w:val="00916E0F"/>
    <w:rsid w:val="00926F61"/>
    <w:rsid w:val="00927A31"/>
    <w:rsid w:val="0093000B"/>
    <w:rsid w:val="00940636"/>
    <w:rsid w:val="00941C54"/>
    <w:rsid w:val="00943A6E"/>
    <w:rsid w:val="009454E1"/>
    <w:rsid w:val="0095037D"/>
    <w:rsid w:val="00956D6C"/>
    <w:rsid w:val="0096175D"/>
    <w:rsid w:val="00961C7D"/>
    <w:rsid w:val="00980CF3"/>
    <w:rsid w:val="00980DB2"/>
    <w:rsid w:val="00982A8E"/>
    <w:rsid w:val="00991D3F"/>
    <w:rsid w:val="009A1EFF"/>
    <w:rsid w:val="009A73F0"/>
    <w:rsid w:val="009C5040"/>
    <w:rsid w:val="009C5698"/>
    <w:rsid w:val="009D04C8"/>
    <w:rsid w:val="009D4EA2"/>
    <w:rsid w:val="009E02AF"/>
    <w:rsid w:val="009E2D0E"/>
    <w:rsid w:val="009E357F"/>
    <w:rsid w:val="009E50E6"/>
    <w:rsid w:val="009E6028"/>
    <w:rsid w:val="009F1357"/>
    <w:rsid w:val="009F2000"/>
    <w:rsid w:val="00A105DC"/>
    <w:rsid w:val="00A1281A"/>
    <w:rsid w:val="00A166F8"/>
    <w:rsid w:val="00A26590"/>
    <w:rsid w:val="00A45192"/>
    <w:rsid w:val="00A45591"/>
    <w:rsid w:val="00A57324"/>
    <w:rsid w:val="00A62681"/>
    <w:rsid w:val="00A9007B"/>
    <w:rsid w:val="00A93F34"/>
    <w:rsid w:val="00AA0D16"/>
    <w:rsid w:val="00AA2E9F"/>
    <w:rsid w:val="00AB45B6"/>
    <w:rsid w:val="00AB66F0"/>
    <w:rsid w:val="00AB7E83"/>
    <w:rsid w:val="00AC1144"/>
    <w:rsid w:val="00AC7CC6"/>
    <w:rsid w:val="00AE1580"/>
    <w:rsid w:val="00AE4F49"/>
    <w:rsid w:val="00AF0FA9"/>
    <w:rsid w:val="00AF6ED9"/>
    <w:rsid w:val="00B05FE3"/>
    <w:rsid w:val="00B067F0"/>
    <w:rsid w:val="00B128C3"/>
    <w:rsid w:val="00B15DF4"/>
    <w:rsid w:val="00B1649D"/>
    <w:rsid w:val="00B21958"/>
    <w:rsid w:val="00B230A6"/>
    <w:rsid w:val="00B27DF2"/>
    <w:rsid w:val="00B31139"/>
    <w:rsid w:val="00B32A2E"/>
    <w:rsid w:val="00B40153"/>
    <w:rsid w:val="00B410FC"/>
    <w:rsid w:val="00B424B3"/>
    <w:rsid w:val="00B43388"/>
    <w:rsid w:val="00B47194"/>
    <w:rsid w:val="00B542D6"/>
    <w:rsid w:val="00B607CF"/>
    <w:rsid w:val="00B608E1"/>
    <w:rsid w:val="00B61125"/>
    <w:rsid w:val="00B65879"/>
    <w:rsid w:val="00B74202"/>
    <w:rsid w:val="00B7592A"/>
    <w:rsid w:val="00B843BC"/>
    <w:rsid w:val="00B85EEB"/>
    <w:rsid w:val="00B85F8D"/>
    <w:rsid w:val="00B91DE5"/>
    <w:rsid w:val="00B96731"/>
    <w:rsid w:val="00B9696C"/>
    <w:rsid w:val="00BA3F9A"/>
    <w:rsid w:val="00BA52DD"/>
    <w:rsid w:val="00BB5886"/>
    <w:rsid w:val="00BB5FE1"/>
    <w:rsid w:val="00BC08BC"/>
    <w:rsid w:val="00BC24C5"/>
    <w:rsid w:val="00BD2162"/>
    <w:rsid w:val="00BD28E0"/>
    <w:rsid w:val="00BD3922"/>
    <w:rsid w:val="00BE2B43"/>
    <w:rsid w:val="00BF2490"/>
    <w:rsid w:val="00BF620B"/>
    <w:rsid w:val="00C009B7"/>
    <w:rsid w:val="00C00AEB"/>
    <w:rsid w:val="00C05C32"/>
    <w:rsid w:val="00C15109"/>
    <w:rsid w:val="00C30231"/>
    <w:rsid w:val="00C3167A"/>
    <w:rsid w:val="00C3219A"/>
    <w:rsid w:val="00C35A3D"/>
    <w:rsid w:val="00C36C7E"/>
    <w:rsid w:val="00C43B0B"/>
    <w:rsid w:val="00C468EB"/>
    <w:rsid w:val="00C56A52"/>
    <w:rsid w:val="00C64864"/>
    <w:rsid w:val="00C64A2A"/>
    <w:rsid w:val="00C74EC9"/>
    <w:rsid w:val="00C76378"/>
    <w:rsid w:val="00C77FC8"/>
    <w:rsid w:val="00C80A18"/>
    <w:rsid w:val="00C8219D"/>
    <w:rsid w:val="00C911A2"/>
    <w:rsid w:val="00C9166A"/>
    <w:rsid w:val="00CA1532"/>
    <w:rsid w:val="00CA1B00"/>
    <w:rsid w:val="00CB14B7"/>
    <w:rsid w:val="00CB5E59"/>
    <w:rsid w:val="00CB70F9"/>
    <w:rsid w:val="00CC325D"/>
    <w:rsid w:val="00CC39B4"/>
    <w:rsid w:val="00CC5D07"/>
    <w:rsid w:val="00CC7465"/>
    <w:rsid w:val="00CD46EB"/>
    <w:rsid w:val="00CE21A8"/>
    <w:rsid w:val="00CE22BF"/>
    <w:rsid w:val="00CE4042"/>
    <w:rsid w:val="00CE605D"/>
    <w:rsid w:val="00CF0559"/>
    <w:rsid w:val="00CF3D4C"/>
    <w:rsid w:val="00CF3F3E"/>
    <w:rsid w:val="00CF64C9"/>
    <w:rsid w:val="00CF747D"/>
    <w:rsid w:val="00CF7FB6"/>
    <w:rsid w:val="00D02B23"/>
    <w:rsid w:val="00D0505B"/>
    <w:rsid w:val="00D06E91"/>
    <w:rsid w:val="00D13B84"/>
    <w:rsid w:val="00D2130D"/>
    <w:rsid w:val="00D22D83"/>
    <w:rsid w:val="00D272E7"/>
    <w:rsid w:val="00D33501"/>
    <w:rsid w:val="00D33982"/>
    <w:rsid w:val="00D34E61"/>
    <w:rsid w:val="00D350A5"/>
    <w:rsid w:val="00D4288A"/>
    <w:rsid w:val="00D54403"/>
    <w:rsid w:val="00D61196"/>
    <w:rsid w:val="00D67154"/>
    <w:rsid w:val="00D67C68"/>
    <w:rsid w:val="00D7075B"/>
    <w:rsid w:val="00D71D44"/>
    <w:rsid w:val="00D747F9"/>
    <w:rsid w:val="00D77C1C"/>
    <w:rsid w:val="00D92488"/>
    <w:rsid w:val="00D97948"/>
    <w:rsid w:val="00DA306D"/>
    <w:rsid w:val="00DA3332"/>
    <w:rsid w:val="00DA72C0"/>
    <w:rsid w:val="00DC66D0"/>
    <w:rsid w:val="00DE769B"/>
    <w:rsid w:val="00DF3D36"/>
    <w:rsid w:val="00DF601F"/>
    <w:rsid w:val="00DF6F2C"/>
    <w:rsid w:val="00DF7EEC"/>
    <w:rsid w:val="00E013B2"/>
    <w:rsid w:val="00E06401"/>
    <w:rsid w:val="00E21E49"/>
    <w:rsid w:val="00E248A4"/>
    <w:rsid w:val="00E333A2"/>
    <w:rsid w:val="00E44A69"/>
    <w:rsid w:val="00E46A71"/>
    <w:rsid w:val="00E622E1"/>
    <w:rsid w:val="00E623BF"/>
    <w:rsid w:val="00E62939"/>
    <w:rsid w:val="00E76065"/>
    <w:rsid w:val="00E838C3"/>
    <w:rsid w:val="00E95352"/>
    <w:rsid w:val="00EA7B8C"/>
    <w:rsid w:val="00EB01DD"/>
    <w:rsid w:val="00EC12E9"/>
    <w:rsid w:val="00EC17CF"/>
    <w:rsid w:val="00ED0725"/>
    <w:rsid w:val="00ED1023"/>
    <w:rsid w:val="00ED2D9A"/>
    <w:rsid w:val="00ED3C85"/>
    <w:rsid w:val="00ED6695"/>
    <w:rsid w:val="00EE0AA1"/>
    <w:rsid w:val="00EE4007"/>
    <w:rsid w:val="00EF07EA"/>
    <w:rsid w:val="00EF4886"/>
    <w:rsid w:val="00F00C29"/>
    <w:rsid w:val="00F072D9"/>
    <w:rsid w:val="00F07303"/>
    <w:rsid w:val="00F1705E"/>
    <w:rsid w:val="00F23604"/>
    <w:rsid w:val="00F31705"/>
    <w:rsid w:val="00F355D4"/>
    <w:rsid w:val="00F359F7"/>
    <w:rsid w:val="00F37A5F"/>
    <w:rsid w:val="00F43398"/>
    <w:rsid w:val="00F45014"/>
    <w:rsid w:val="00F456A6"/>
    <w:rsid w:val="00F45C2C"/>
    <w:rsid w:val="00F51C6C"/>
    <w:rsid w:val="00F53647"/>
    <w:rsid w:val="00F609B8"/>
    <w:rsid w:val="00F62C93"/>
    <w:rsid w:val="00F634EB"/>
    <w:rsid w:val="00F64DFA"/>
    <w:rsid w:val="00F66C0E"/>
    <w:rsid w:val="00F77071"/>
    <w:rsid w:val="00F804F4"/>
    <w:rsid w:val="00F823C4"/>
    <w:rsid w:val="00F844C2"/>
    <w:rsid w:val="00F847B9"/>
    <w:rsid w:val="00F85E04"/>
    <w:rsid w:val="00F862B1"/>
    <w:rsid w:val="00F900C7"/>
    <w:rsid w:val="00F9069B"/>
    <w:rsid w:val="00F96F40"/>
    <w:rsid w:val="00FA2BD8"/>
    <w:rsid w:val="00FA327A"/>
    <w:rsid w:val="00FA38D4"/>
    <w:rsid w:val="00FB00DA"/>
    <w:rsid w:val="00FB0CB7"/>
    <w:rsid w:val="00FB77D3"/>
    <w:rsid w:val="00FC5538"/>
    <w:rsid w:val="00FD4563"/>
    <w:rsid w:val="00FE17D9"/>
    <w:rsid w:val="00FE2C3B"/>
    <w:rsid w:val="00FE32A3"/>
    <w:rsid w:val="00FE4309"/>
    <w:rsid w:val="00FF4F0A"/>
    <w:rsid w:val="00FF51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semiHidden/>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semiHidden/>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sz w:val="20"/>
      <w:szCs w:val="20"/>
    </w:rPr>
  </w:style>
  <w:style w:type="character" w:customStyle="1" w:styleId="ab">
    <w:name w:val="頁尾 字元"/>
    <w:basedOn w:val="a0"/>
    <w:link w:val="aa"/>
    <w:uiPriority w:val="99"/>
    <w:rsid w:val="00CF0559"/>
    <w:rPr>
      <w:sz w:val="20"/>
      <w:szCs w:val="20"/>
    </w:rPr>
  </w:style>
  <w:style w:type="paragraph" w:styleId="HTML">
    <w:name w:val="HTML Preformatted"/>
    <w:basedOn w:val="a"/>
    <w:link w:val="HTML0"/>
    <w:uiPriority w:val="99"/>
    <w:unhideWhenUsed/>
    <w:rsid w:val="00EF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F4886"/>
    <w:rPr>
      <w:rFonts w:ascii="細明體" w:eastAsia="細明體" w:hAnsi="細明體" w:cs="Times New Roman"/>
      <w:color w:val="333333"/>
      <w:kern w:val="0"/>
      <w:szCs w:val="24"/>
    </w:rPr>
  </w:style>
  <w:style w:type="paragraph" w:styleId="ac">
    <w:name w:val="No Spacing"/>
    <w:uiPriority w:val="1"/>
    <w:qFormat/>
    <w:rsid w:val="00DA72C0"/>
    <w:pPr>
      <w:widowControl w:val="0"/>
      <w:spacing w:line="240" w:lineRule="auto"/>
    </w:pPr>
  </w:style>
  <w:style w:type="paragraph" w:styleId="ad">
    <w:name w:val="List Paragraph"/>
    <w:basedOn w:val="a"/>
    <w:uiPriority w:val="34"/>
    <w:qFormat/>
    <w:rsid w:val="001A5333"/>
    <w:pPr>
      <w:ind w:leftChars="200" w:left="480"/>
    </w:pPr>
  </w:style>
  <w:style w:type="paragraph" w:styleId="ae">
    <w:name w:val="Balloon Text"/>
    <w:basedOn w:val="a"/>
    <w:link w:val="af"/>
    <w:uiPriority w:val="99"/>
    <w:semiHidden/>
    <w:unhideWhenUsed/>
    <w:rsid w:val="00FE17D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E17D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746B4-991C-40A4-860F-DB374ABC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1222</Words>
  <Characters>6970</Characters>
  <Application>Microsoft Office Word</Application>
  <DocSecurity>0</DocSecurity>
  <Lines>58</Lines>
  <Paragraphs>16</Paragraphs>
  <ScaleCrop>false</ScaleCrop>
  <Company>Toshiba</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4</cp:revision>
  <cp:lastPrinted>2016-05-26T01:41:00Z</cp:lastPrinted>
  <dcterms:created xsi:type="dcterms:W3CDTF">2016-05-31T08:26:00Z</dcterms:created>
  <dcterms:modified xsi:type="dcterms:W3CDTF">2016-06-01T07:14:00Z</dcterms:modified>
</cp:coreProperties>
</file>