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3B" w:rsidRDefault="0094153B" w:rsidP="0094153B">
      <w:pPr>
        <w:spacing w:line="440" w:lineRule="exact"/>
        <w:jc w:val="center"/>
        <w:rPr>
          <w:rFonts w:eastAsia="標楷體"/>
          <w:sz w:val="32"/>
          <w:szCs w:val="32"/>
        </w:rPr>
      </w:pPr>
      <w:r>
        <w:rPr>
          <w:rFonts w:eastAsia="標楷體" w:hint="eastAsia"/>
          <w:sz w:val="32"/>
          <w:szCs w:val="32"/>
        </w:rPr>
        <w:t>「</w:t>
      </w:r>
      <w:r w:rsidRPr="00023F0B">
        <w:rPr>
          <w:rFonts w:eastAsia="標楷體" w:hint="eastAsia"/>
          <w:sz w:val="32"/>
          <w:szCs w:val="32"/>
        </w:rPr>
        <w:t>證券商辦理有價證券買賣融資融券業務操作辦法</w:t>
      </w:r>
      <w:r>
        <w:rPr>
          <w:rFonts w:eastAsia="標楷體" w:hint="eastAsia"/>
          <w:sz w:val="32"/>
          <w:szCs w:val="32"/>
        </w:rPr>
        <w:t>」</w:t>
      </w:r>
    </w:p>
    <w:p w:rsidR="0094153B" w:rsidRDefault="0094153B" w:rsidP="00FA4732">
      <w:pPr>
        <w:spacing w:afterLines="50" w:line="440" w:lineRule="exact"/>
        <w:jc w:val="center"/>
        <w:rPr>
          <w:rFonts w:eastAsia="標楷體" w:hAnsi="標楷體"/>
          <w:sz w:val="32"/>
          <w:szCs w:val="32"/>
        </w:rPr>
      </w:pPr>
      <w:r w:rsidRPr="0002007D">
        <w:rPr>
          <w:rFonts w:eastAsia="標楷體" w:hint="eastAsia"/>
          <w:sz w:val="32"/>
          <w:szCs w:val="32"/>
        </w:rPr>
        <w:t>第十條</w:t>
      </w:r>
      <w:r w:rsidR="00FA4732">
        <w:rPr>
          <w:rFonts w:eastAsia="標楷體" w:hAnsi="標楷體" w:hint="eastAsia"/>
          <w:sz w:val="32"/>
          <w:szCs w:val="32"/>
        </w:rPr>
        <w:t>修正</w:t>
      </w:r>
      <w:r>
        <w:rPr>
          <w:rFonts w:eastAsia="標楷體" w:hAnsi="標楷體" w:hint="eastAsia"/>
          <w:sz w:val="32"/>
          <w:szCs w:val="32"/>
        </w:rPr>
        <w:t>條文對照表</w:t>
      </w:r>
    </w:p>
    <w:tbl>
      <w:tblPr>
        <w:tblStyle w:val="a3"/>
        <w:tblW w:w="0" w:type="auto"/>
        <w:tblLook w:val="04A0"/>
      </w:tblPr>
      <w:tblGrid>
        <w:gridCol w:w="3507"/>
        <w:gridCol w:w="3507"/>
        <w:gridCol w:w="3508"/>
      </w:tblGrid>
      <w:tr w:rsidR="0094153B" w:rsidTr="001035E4">
        <w:tc>
          <w:tcPr>
            <w:tcW w:w="3507" w:type="dxa"/>
            <w:vAlign w:val="center"/>
          </w:tcPr>
          <w:p w:rsidR="0094153B" w:rsidRPr="00C60732" w:rsidRDefault="0094153B" w:rsidP="001035E4">
            <w:pPr>
              <w:spacing w:line="400" w:lineRule="exact"/>
              <w:jc w:val="center"/>
              <w:rPr>
                <w:rFonts w:eastAsia="標楷體"/>
              </w:rPr>
            </w:pPr>
            <w:r w:rsidRPr="00C60732">
              <w:rPr>
                <w:rFonts w:eastAsia="標楷體" w:hAnsi="標楷體"/>
              </w:rPr>
              <w:t>修正條文</w:t>
            </w:r>
          </w:p>
        </w:tc>
        <w:tc>
          <w:tcPr>
            <w:tcW w:w="3507" w:type="dxa"/>
            <w:vAlign w:val="center"/>
          </w:tcPr>
          <w:p w:rsidR="0094153B" w:rsidRPr="00C60732" w:rsidRDefault="0094153B" w:rsidP="001035E4">
            <w:pPr>
              <w:spacing w:line="400" w:lineRule="exact"/>
              <w:jc w:val="center"/>
              <w:rPr>
                <w:rFonts w:eastAsia="標楷體"/>
              </w:rPr>
            </w:pPr>
            <w:r>
              <w:rPr>
                <w:rFonts w:eastAsia="標楷體" w:hAnsi="標楷體" w:hint="eastAsia"/>
              </w:rPr>
              <w:t>現行</w:t>
            </w:r>
            <w:r w:rsidRPr="00C60732">
              <w:rPr>
                <w:rFonts w:eastAsia="標楷體" w:hAnsi="標楷體"/>
              </w:rPr>
              <w:t>條文</w:t>
            </w:r>
          </w:p>
        </w:tc>
        <w:tc>
          <w:tcPr>
            <w:tcW w:w="3508" w:type="dxa"/>
          </w:tcPr>
          <w:p w:rsidR="0094153B" w:rsidRPr="00C60732" w:rsidRDefault="0094153B" w:rsidP="001035E4">
            <w:pPr>
              <w:spacing w:line="400" w:lineRule="exact"/>
              <w:jc w:val="center"/>
              <w:rPr>
                <w:rFonts w:eastAsia="標楷體" w:hAnsi="標楷體"/>
              </w:rPr>
            </w:pPr>
            <w:r w:rsidRPr="00C60732">
              <w:rPr>
                <w:rFonts w:eastAsia="標楷體" w:hAnsi="標楷體" w:hint="eastAsia"/>
              </w:rPr>
              <w:t>說明</w:t>
            </w:r>
          </w:p>
        </w:tc>
      </w:tr>
      <w:tr w:rsidR="0094153B" w:rsidTr="001035E4">
        <w:tc>
          <w:tcPr>
            <w:tcW w:w="3507" w:type="dxa"/>
            <w:vAlign w:val="center"/>
          </w:tcPr>
          <w:p w:rsidR="0094153B" w:rsidRDefault="0094153B" w:rsidP="0094153B">
            <w:pPr>
              <w:spacing w:line="400" w:lineRule="exact"/>
              <w:jc w:val="both"/>
              <w:rPr>
                <w:rFonts w:eastAsia="標楷體" w:hAnsi="標楷體"/>
                <w:szCs w:val="32"/>
              </w:rPr>
            </w:pPr>
            <w:r>
              <w:rPr>
                <w:rFonts w:eastAsia="標楷體" w:hAnsi="標楷體" w:hint="eastAsia"/>
                <w:szCs w:val="32"/>
              </w:rPr>
              <w:t>第十條</w:t>
            </w:r>
            <w:r>
              <w:rPr>
                <w:rFonts w:eastAsia="標楷體" w:hAnsi="標楷體" w:hint="eastAsia"/>
                <w:szCs w:val="32"/>
              </w:rPr>
              <w:t xml:space="preserve">  </w:t>
            </w:r>
          </w:p>
          <w:p w:rsidR="0094153B" w:rsidRDefault="0094153B" w:rsidP="00D56DAC">
            <w:pPr>
              <w:spacing w:line="400" w:lineRule="exact"/>
              <w:ind w:firstLineChars="200" w:firstLine="480"/>
              <w:jc w:val="both"/>
              <w:rPr>
                <w:rFonts w:eastAsia="標楷體" w:hAnsi="標楷體"/>
                <w:szCs w:val="32"/>
              </w:rPr>
            </w:pPr>
            <w:r w:rsidRPr="00C60732">
              <w:rPr>
                <w:rFonts w:eastAsia="標楷體" w:hAnsi="標楷體" w:hint="eastAsia"/>
                <w:szCs w:val="32"/>
              </w:rPr>
              <w:t>委託人有下列情事之</w:t>
            </w:r>
            <w:proofErr w:type="gramStart"/>
            <w:r w:rsidRPr="00C60732">
              <w:rPr>
                <w:rFonts w:eastAsia="標楷體" w:hAnsi="標楷體" w:hint="eastAsia"/>
                <w:szCs w:val="32"/>
              </w:rPr>
              <w:t>一</w:t>
            </w:r>
            <w:proofErr w:type="gramEnd"/>
            <w:r w:rsidRPr="00C60732">
              <w:rPr>
                <w:rFonts w:eastAsia="標楷體" w:hAnsi="標楷體" w:hint="eastAsia"/>
                <w:szCs w:val="32"/>
              </w:rPr>
              <w:t>者，證券商不得受理開戶。已開戶者，證券商應即通知委託人於次一營業日了結融資融券買賣後，註銷其信用帳戶；委託人逾期不結清者，證券商於次一營業日開始</w:t>
            </w:r>
            <w:proofErr w:type="gramStart"/>
            <w:r w:rsidRPr="00C60732">
              <w:rPr>
                <w:rFonts w:eastAsia="標楷體" w:hAnsi="標楷體" w:hint="eastAsia"/>
                <w:szCs w:val="32"/>
              </w:rPr>
              <w:t>準</w:t>
            </w:r>
            <w:proofErr w:type="gramEnd"/>
            <w:r w:rsidRPr="00C60732">
              <w:rPr>
                <w:rFonts w:eastAsia="標楷體" w:hAnsi="標楷體" w:hint="eastAsia"/>
                <w:szCs w:val="32"/>
              </w:rPr>
              <w:t>用第三十九條第三項規定了結買賣：</w:t>
            </w:r>
          </w:p>
          <w:p w:rsidR="0094153B" w:rsidRDefault="0094153B" w:rsidP="0094153B">
            <w:pPr>
              <w:numPr>
                <w:ilvl w:val="0"/>
                <w:numId w:val="1"/>
              </w:numPr>
              <w:spacing w:line="400" w:lineRule="exact"/>
              <w:ind w:left="459"/>
              <w:jc w:val="both"/>
              <w:rPr>
                <w:rFonts w:eastAsia="標楷體" w:hAnsi="標楷體"/>
                <w:szCs w:val="32"/>
              </w:rPr>
            </w:pPr>
            <w:r w:rsidRPr="00C60732">
              <w:rPr>
                <w:rFonts w:eastAsia="標楷體" w:hAnsi="標楷體" w:hint="eastAsia"/>
                <w:szCs w:val="32"/>
              </w:rPr>
              <w:t>不符合開戶條件。</w:t>
            </w:r>
          </w:p>
          <w:p w:rsidR="0094153B" w:rsidRDefault="0094153B" w:rsidP="0094153B">
            <w:pPr>
              <w:numPr>
                <w:ilvl w:val="0"/>
                <w:numId w:val="1"/>
              </w:numPr>
              <w:spacing w:line="400" w:lineRule="exact"/>
              <w:ind w:left="459"/>
              <w:jc w:val="both"/>
              <w:rPr>
                <w:rFonts w:eastAsia="標楷體" w:hAnsi="標楷體"/>
                <w:szCs w:val="32"/>
              </w:rPr>
            </w:pPr>
            <w:r w:rsidRPr="00AC523E">
              <w:rPr>
                <w:rFonts w:eastAsia="標楷體" w:hAnsi="標楷體" w:hint="eastAsia"/>
                <w:szCs w:val="32"/>
              </w:rPr>
              <w:t>利用他人名義開立信用帳戶。</w:t>
            </w:r>
          </w:p>
          <w:p w:rsidR="0094153B" w:rsidRDefault="0094153B" w:rsidP="0094153B">
            <w:pPr>
              <w:numPr>
                <w:ilvl w:val="0"/>
                <w:numId w:val="1"/>
              </w:numPr>
              <w:spacing w:line="400" w:lineRule="exact"/>
              <w:ind w:left="459"/>
              <w:jc w:val="both"/>
              <w:rPr>
                <w:rFonts w:eastAsia="標楷體" w:hAnsi="標楷體"/>
                <w:szCs w:val="32"/>
              </w:rPr>
            </w:pPr>
            <w:r w:rsidRPr="00AC523E">
              <w:rPr>
                <w:rFonts w:eastAsia="標楷體" w:hAnsi="標楷體" w:hint="eastAsia"/>
                <w:szCs w:val="32"/>
              </w:rPr>
              <w:t>有證券交易所營業細則第七十六條第一項及第三項、櫃檯中心業務規則第四十七條第一項及第二項所定情事。但有依同細則第七十六條第三項第一款或同業務規則第四十七條第二項第一款所定情事，經證券交易所或櫃檯中心於上午十一時三十分轉知者，證券商應於次一營業日通知委託人。</w:t>
            </w:r>
          </w:p>
          <w:p w:rsidR="0094153B" w:rsidRDefault="0094153B" w:rsidP="0094153B">
            <w:pPr>
              <w:numPr>
                <w:ilvl w:val="0"/>
                <w:numId w:val="1"/>
              </w:numPr>
              <w:spacing w:line="400" w:lineRule="exact"/>
              <w:ind w:left="459"/>
              <w:jc w:val="both"/>
              <w:rPr>
                <w:rFonts w:eastAsia="標楷體" w:hAnsi="標楷體"/>
                <w:szCs w:val="32"/>
              </w:rPr>
            </w:pPr>
            <w:r w:rsidRPr="00AC523E">
              <w:rPr>
                <w:rFonts w:eastAsia="標楷體" w:hAnsi="標楷體" w:hint="eastAsia"/>
                <w:szCs w:val="32"/>
              </w:rPr>
              <w:t>在本受託證券商所開立之受託買賣帳戶經註銷者</w:t>
            </w:r>
            <w:r w:rsidRPr="00C60732">
              <w:rPr>
                <w:rFonts w:eastAsia="標楷體" w:hAnsi="標楷體" w:hint="eastAsia"/>
                <w:szCs w:val="32"/>
              </w:rPr>
              <w:t>。</w:t>
            </w:r>
          </w:p>
          <w:p w:rsidR="0094153B" w:rsidRDefault="0094153B" w:rsidP="0094153B">
            <w:pPr>
              <w:numPr>
                <w:ilvl w:val="0"/>
                <w:numId w:val="1"/>
              </w:numPr>
              <w:spacing w:line="400" w:lineRule="exact"/>
              <w:ind w:left="459"/>
              <w:jc w:val="both"/>
              <w:rPr>
                <w:rFonts w:eastAsia="標楷體" w:hAnsi="標楷體"/>
                <w:szCs w:val="32"/>
              </w:rPr>
            </w:pPr>
            <w:r w:rsidRPr="00AC523E">
              <w:rPr>
                <w:rFonts w:eastAsia="標楷體" w:hAnsi="標楷體" w:hint="eastAsia"/>
                <w:szCs w:val="32"/>
              </w:rPr>
              <w:t>在本證券商有下列情事之</w:t>
            </w:r>
            <w:proofErr w:type="gramStart"/>
            <w:r w:rsidRPr="00AC523E">
              <w:rPr>
                <w:rFonts w:eastAsia="標楷體" w:hAnsi="標楷體" w:hint="eastAsia"/>
                <w:szCs w:val="32"/>
              </w:rPr>
              <w:t>一</w:t>
            </w:r>
            <w:proofErr w:type="gramEnd"/>
            <w:r w:rsidRPr="00AC523E">
              <w:rPr>
                <w:rFonts w:eastAsia="標楷體" w:hAnsi="標楷體" w:hint="eastAsia"/>
                <w:szCs w:val="32"/>
              </w:rPr>
              <w:t>且未結案者：</w:t>
            </w:r>
          </w:p>
          <w:p w:rsidR="0094153B" w:rsidRDefault="0094153B" w:rsidP="0094153B">
            <w:pPr>
              <w:numPr>
                <w:ilvl w:val="0"/>
                <w:numId w:val="2"/>
              </w:numPr>
              <w:spacing w:line="400" w:lineRule="exact"/>
              <w:ind w:left="601" w:hanging="363"/>
              <w:jc w:val="both"/>
              <w:rPr>
                <w:rFonts w:eastAsia="標楷體" w:hAnsi="標楷體"/>
                <w:szCs w:val="32"/>
              </w:rPr>
            </w:pPr>
            <w:r w:rsidRPr="00AC523E">
              <w:rPr>
                <w:rFonts w:eastAsia="標楷體" w:hAnsi="標楷體" w:hint="eastAsia"/>
                <w:szCs w:val="32"/>
              </w:rPr>
              <w:t>證券交易所營業細則第九十一條或櫃檯中心業務規則第八十七條</w:t>
            </w:r>
            <w:proofErr w:type="gramStart"/>
            <w:r w:rsidRPr="00AC523E">
              <w:rPr>
                <w:rFonts w:eastAsia="標楷體" w:hAnsi="標楷體" w:hint="eastAsia"/>
                <w:szCs w:val="32"/>
              </w:rPr>
              <w:t>不</w:t>
            </w:r>
            <w:proofErr w:type="gramEnd"/>
            <w:r w:rsidRPr="00AC523E">
              <w:rPr>
                <w:rFonts w:eastAsia="標楷體" w:hAnsi="標楷體" w:hint="eastAsia"/>
                <w:szCs w:val="32"/>
              </w:rPr>
              <w:t>如期履行交割義務情事。</w:t>
            </w:r>
          </w:p>
          <w:p w:rsidR="0094153B" w:rsidRDefault="0094153B" w:rsidP="0094153B">
            <w:pPr>
              <w:numPr>
                <w:ilvl w:val="0"/>
                <w:numId w:val="2"/>
              </w:numPr>
              <w:spacing w:line="400" w:lineRule="exact"/>
              <w:jc w:val="both"/>
              <w:rPr>
                <w:rFonts w:eastAsia="標楷體" w:hAnsi="標楷體"/>
                <w:szCs w:val="32"/>
              </w:rPr>
            </w:pPr>
            <w:r w:rsidRPr="00AC523E">
              <w:rPr>
                <w:rFonts w:eastAsia="標楷體" w:hAnsi="標楷體" w:hint="eastAsia"/>
                <w:szCs w:val="32"/>
              </w:rPr>
              <w:t>違反與本證券商所訂融資融券契約。</w:t>
            </w:r>
          </w:p>
          <w:p w:rsidR="0094153B" w:rsidRDefault="0094153B" w:rsidP="0094153B">
            <w:pPr>
              <w:numPr>
                <w:ilvl w:val="0"/>
                <w:numId w:val="2"/>
              </w:numPr>
              <w:spacing w:line="400" w:lineRule="exact"/>
              <w:jc w:val="both"/>
              <w:rPr>
                <w:rFonts w:eastAsia="標楷體" w:hAnsi="標楷體"/>
                <w:szCs w:val="32"/>
              </w:rPr>
            </w:pPr>
            <w:r w:rsidRPr="00AC523E">
              <w:rPr>
                <w:rFonts w:eastAsia="標楷體" w:hAnsi="標楷體" w:hint="eastAsia"/>
                <w:szCs w:val="32"/>
              </w:rPr>
              <w:lastRenderedPageBreak/>
              <w:t>證券商辦理有價證券借貸操作辦法第三十三條違約情事。</w:t>
            </w:r>
          </w:p>
          <w:p w:rsidR="0094153B" w:rsidRDefault="0094153B" w:rsidP="0094153B">
            <w:pPr>
              <w:numPr>
                <w:ilvl w:val="0"/>
                <w:numId w:val="2"/>
              </w:numPr>
              <w:spacing w:line="400" w:lineRule="exact"/>
              <w:jc w:val="both"/>
              <w:rPr>
                <w:rFonts w:eastAsia="標楷體" w:hAnsi="標楷體"/>
                <w:szCs w:val="32"/>
              </w:rPr>
            </w:pPr>
            <w:r w:rsidRPr="00AC523E">
              <w:rPr>
                <w:rFonts w:eastAsia="標楷體" w:hAnsi="標楷體" w:hint="eastAsia"/>
                <w:szCs w:val="32"/>
              </w:rPr>
              <w:t>證券商辦理證券業務借貸款項操作辦法第二十八條違規情事。</w:t>
            </w:r>
          </w:p>
          <w:p w:rsidR="0094153B" w:rsidRDefault="0094153B" w:rsidP="0094153B">
            <w:pPr>
              <w:numPr>
                <w:ilvl w:val="0"/>
                <w:numId w:val="1"/>
              </w:numPr>
              <w:spacing w:line="400" w:lineRule="exact"/>
              <w:ind w:hanging="588"/>
              <w:jc w:val="both"/>
              <w:rPr>
                <w:rFonts w:eastAsia="標楷體" w:hAnsi="標楷體"/>
                <w:szCs w:val="32"/>
              </w:rPr>
            </w:pPr>
            <w:r w:rsidRPr="00AC523E">
              <w:rPr>
                <w:rFonts w:eastAsia="標楷體" w:hAnsi="標楷體" w:hint="eastAsia"/>
                <w:szCs w:val="32"/>
              </w:rPr>
              <w:t>經依公司法、破產法為重整、和解、破產之聲請</w:t>
            </w:r>
            <w:r>
              <w:rPr>
                <w:rFonts w:eastAsia="標楷體" w:hAnsi="標楷體" w:hint="eastAsia"/>
                <w:szCs w:val="32"/>
              </w:rPr>
              <w:t>者。</w:t>
            </w:r>
          </w:p>
          <w:p w:rsidR="00643026" w:rsidRDefault="0094153B" w:rsidP="0094153B">
            <w:pPr>
              <w:numPr>
                <w:ilvl w:val="0"/>
                <w:numId w:val="1"/>
              </w:numPr>
              <w:spacing w:line="400" w:lineRule="exact"/>
              <w:ind w:hanging="588"/>
              <w:jc w:val="both"/>
              <w:rPr>
                <w:rFonts w:eastAsia="標楷體" w:hAnsi="標楷體"/>
                <w:szCs w:val="32"/>
              </w:rPr>
            </w:pPr>
            <w:r w:rsidRPr="00643026">
              <w:rPr>
                <w:rFonts w:eastAsia="標楷體" w:hAnsi="標楷體" w:hint="eastAsia"/>
                <w:szCs w:val="32"/>
              </w:rPr>
              <w:t>經票據交換所拒絕往來者</w:t>
            </w:r>
            <w:r w:rsidR="00812707" w:rsidRPr="00643026">
              <w:rPr>
                <w:rFonts w:eastAsia="標楷體" w:hAnsi="標楷體" w:hint="eastAsia"/>
                <w:szCs w:val="32"/>
              </w:rPr>
              <w:t>。</w:t>
            </w:r>
          </w:p>
          <w:p w:rsidR="00643026" w:rsidRPr="00643026" w:rsidRDefault="00D8232C" w:rsidP="00FA4732">
            <w:pPr>
              <w:spacing w:beforeLines="50" w:line="400" w:lineRule="exact"/>
              <w:ind w:left="-108"/>
              <w:jc w:val="both"/>
              <w:rPr>
                <w:rFonts w:eastAsia="標楷體" w:hAnsi="標楷體"/>
                <w:szCs w:val="32"/>
                <w:u w:val="single"/>
              </w:rPr>
            </w:pPr>
            <w:r>
              <w:rPr>
                <w:rFonts w:eastAsia="標楷體" w:hAnsi="標楷體" w:hint="eastAsia"/>
                <w:szCs w:val="32"/>
              </w:rPr>
              <w:t xml:space="preserve">    </w:t>
            </w:r>
            <w:r w:rsidR="004D0937">
              <w:rPr>
                <w:rFonts w:eastAsia="標楷體" w:hAnsi="標楷體" w:hint="eastAsia"/>
                <w:szCs w:val="32"/>
                <w:u w:val="single"/>
              </w:rPr>
              <w:t>委託人申請融資額度加計其</w:t>
            </w:r>
            <w:r w:rsidR="004D0937" w:rsidRPr="00C33AEC">
              <w:rPr>
                <w:rFonts w:eastAsia="標楷體" w:hAnsi="標楷體" w:hint="eastAsia"/>
                <w:szCs w:val="32"/>
                <w:u w:val="single"/>
              </w:rPr>
              <w:t>於同一證券商之其他授信業務已核定額度</w:t>
            </w:r>
            <w:r w:rsidR="00643026" w:rsidRPr="00643026">
              <w:rPr>
                <w:rFonts w:eastAsia="標楷體" w:hAnsi="標楷體" w:hint="eastAsia"/>
                <w:szCs w:val="32"/>
                <w:u w:val="single"/>
              </w:rPr>
              <w:t>未逾新臺幣五十萬元者，證券商得不查詢票據信用資料</w:t>
            </w:r>
            <w:r w:rsidR="00D86E69">
              <w:rPr>
                <w:rFonts w:eastAsia="標楷體" w:hAnsi="標楷體" w:hint="eastAsia"/>
                <w:szCs w:val="32"/>
                <w:u w:val="single"/>
              </w:rPr>
              <w:t>。</w:t>
            </w:r>
            <w:r w:rsidR="00643026" w:rsidRPr="00643026">
              <w:rPr>
                <w:rFonts w:eastAsia="標楷體" w:hAnsi="標楷體" w:hint="eastAsia"/>
                <w:szCs w:val="32"/>
                <w:u w:val="single"/>
              </w:rPr>
              <w:t>但經查詢為拒絕往來者，仍依前項規定辦理。</w:t>
            </w:r>
          </w:p>
          <w:p w:rsidR="0094153B" w:rsidRPr="00643026" w:rsidRDefault="00643026" w:rsidP="00FA4732">
            <w:pPr>
              <w:spacing w:beforeLines="30" w:line="400" w:lineRule="exact"/>
              <w:ind w:left="-108"/>
              <w:jc w:val="both"/>
              <w:rPr>
                <w:rFonts w:eastAsia="標楷體" w:hAnsi="標楷體"/>
                <w:szCs w:val="32"/>
              </w:rPr>
            </w:pPr>
            <w:r>
              <w:rPr>
                <w:rFonts w:eastAsia="標楷體" w:hAnsi="標楷體" w:hint="eastAsia"/>
                <w:szCs w:val="32"/>
              </w:rPr>
              <w:t xml:space="preserve">   </w:t>
            </w:r>
            <w:r w:rsidR="00D56DAC">
              <w:rPr>
                <w:rFonts w:eastAsia="標楷體" w:hAnsi="標楷體" w:hint="eastAsia"/>
                <w:szCs w:val="32"/>
              </w:rPr>
              <w:t xml:space="preserve"> </w:t>
            </w:r>
            <w:r w:rsidR="0094153B" w:rsidRPr="00643026">
              <w:rPr>
                <w:rFonts w:eastAsia="標楷體" w:hAnsi="標楷體" w:hint="eastAsia"/>
                <w:szCs w:val="32"/>
              </w:rPr>
              <w:t>信用帳戶內之款項及有價證券經法院為假扣押、假處分、強制執行之裁定者，</w:t>
            </w:r>
            <w:proofErr w:type="gramStart"/>
            <w:r w:rsidR="0094153B" w:rsidRPr="00643026">
              <w:rPr>
                <w:rFonts w:eastAsia="標楷體" w:hAnsi="標楷體" w:hint="eastAsia"/>
                <w:szCs w:val="32"/>
              </w:rPr>
              <w:t>準</w:t>
            </w:r>
            <w:proofErr w:type="gramEnd"/>
            <w:r w:rsidR="0094153B" w:rsidRPr="00643026">
              <w:rPr>
                <w:rFonts w:eastAsia="標楷體" w:hAnsi="標楷體" w:hint="eastAsia"/>
                <w:szCs w:val="32"/>
              </w:rPr>
              <w:t>用</w:t>
            </w:r>
            <w:r w:rsidR="00D56DAC" w:rsidRPr="00D56DAC">
              <w:rPr>
                <w:rFonts w:eastAsia="標楷體" w:hAnsi="標楷體" w:hint="eastAsia"/>
                <w:szCs w:val="32"/>
                <w:u w:val="single"/>
              </w:rPr>
              <w:t>第一</w:t>
            </w:r>
            <w:r w:rsidR="0094153B" w:rsidRPr="00643026">
              <w:rPr>
                <w:rFonts w:eastAsia="標楷體" w:hAnsi="標楷體" w:hint="eastAsia"/>
                <w:szCs w:val="32"/>
              </w:rPr>
              <w:t>項規定處理。</w:t>
            </w:r>
          </w:p>
          <w:p w:rsidR="0094153B" w:rsidRDefault="0094153B" w:rsidP="0094153B">
            <w:pPr>
              <w:spacing w:line="400" w:lineRule="exact"/>
              <w:jc w:val="both"/>
              <w:rPr>
                <w:rFonts w:eastAsia="標楷體" w:hAnsi="標楷體"/>
                <w:szCs w:val="32"/>
              </w:rPr>
            </w:pPr>
            <w:r w:rsidRPr="00C60732">
              <w:rPr>
                <w:rFonts w:eastAsia="標楷體" w:hAnsi="標楷體" w:hint="eastAsia"/>
                <w:szCs w:val="32"/>
              </w:rPr>
              <w:t xml:space="preserve">  </w:t>
            </w:r>
            <w:r>
              <w:rPr>
                <w:rFonts w:eastAsia="標楷體" w:hAnsi="標楷體" w:hint="eastAsia"/>
                <w:szCs w:val="32"/>
              </w:rPr>
              <w:t xml:space="preserve"> </w:t>
            </w:r>
            <w:r w:rsidR="00D8232C">
              <w:rPr>
                <w:rFonts w:eastAsia="標楷體" w:hAnsi="標楷體" w:hint="eastAsia"/>
                <w:szCs w:val="32"/>
              </w:rPr>
              <w:t xml:space="preserve"> </w:t>
            </w:r>
            <w:r w:rsidRPr="00C60732">
              <w:rPr>
                <w:rFonts w:eastAsia="標楷體" w:hAnsi="標楷體" w:hint="eastAsia"/>
                <w:szCs w:val="32"/>
              </w:rPr>
              <w:t>委託人於他證券商、證券金融事業或證券交易所有下列情事之</w:t>
            </w:r>
            <w:proofErr w:type="gramStart"/>
            <w:r w:rsidRPr="00C60732">
              <w:rPr>
                <w:rFonts w:eastAsia="標楷體" w:hAnsi="標楷體" w:hint="eastAsia"/>
                <w:szCs w:val="32"/>
              </w:rPr>
              <w:t>一</w:t>
            </w:r>
            <w:proofErr w:type="gramEnd"/>
            <w:r w:rsidRPr="00C60732">
              <w:rPr>
                <w:rFonts w:eastAsia="標楷體" w:hAnsi="標楷體" w:hint="eastAsia"/>
                <w:szCs w:val="32"/>
              </w:rPr>
              <w:t>且未結案者，證券商不得受理開戶。已開戶者，證券商不得受託為融資買進、融券賣出交易，委託人了結融資融券買賣後，應即註銷其信用帳戶。</w:t>
            </w:r>
          </w:p>
          <w:p w:rsidR="0094153B" w:rsidRDefault="0094153B" w:rsidP="0094153B">
            <w:pPr>
              <w:numPr>
                <w:ilvl w:val="0"/>
                <w:numId w:val="3"/>
              </w:numPr>
              <w:spacing w:line="400" w:lineRule="exact"/>
              <w:ind w:left="459" w:hanging="567"/>
              <w:jc w:val="both"/>
              <w:rPr>
                <w:rFonts w:eastAsia="標楷體" w:hAnsi="標楷體"/>
                <w:szCs w:val="32"/>
              </w:rPr>
            </w:pPr>
            <w:r w:rsidRPr="00C60732">
              <w:rPr>
                <w:rFonts w:eastAsia="標楷體" w:hAnsi="標楷體" w:hint="eastAsia"/>
                <w:szCs w:val="32"/>
              </w:rPr>
              <w:t>違反與證券商或證券</w:t>
            </w:r>
            <w:r>
              <w:rPr>
                <w:rFonts w:eastAsia="標楷體" w:hAnsi="標楷體" w:hint="eastAsia"/>
                <w:szCs w:val="32"/>
              </w:rPr>
              <w:t>金</w:t>
            </w:r>
            <w:r>
              <w:rPr>
                <w:rFonts w:eastAsia="標楷體" w:hAnsi="標楷體" w:hint="eastAsia"/>
                <w:szCs w:val="32"/>
              </w:rPr>
              <w:t xml:space="preserve">               </w:t>
            </w:r>
            <w:r w:rsidRPr="00AC523E">
              <w:rPr>
                <w:rFonts w:eastAsia="標楷體" w:hAnsi="標楷體" w:hint="eastAsia"/>
                <w:szCs w:val="32"/>
              </w:rPr>
              <w:t>融事業所訂融資融券契約。</w:t>
            </w:r>
          </w:p>
          <w:p w:rsidR="0094153B" w:rsidRDefault="0094153B" w:rsidP="0094153B">
            <w:pPr>
              <w:numPr>
                <w:ilvl w:val="0"/>
                <w:numId w:val="3"/>
              </w:numPr>
              <w:spacing w:line="400" w:lineRule="exact"/>
              <w:ind w:left="459" w:hanging="567"/>
              <w:jc w:val="both"/>
              <w:rPr>
                <w:rFonts w:eastAsia="標楷體" w:hAnsi="標楷體"/>
                <w:szCs w:val="32"/>
              </w:rPr>
            </w:pPr>
            <w:r w:rsidRPr="00AC523E">
              <w:rPr>
                <w:rFonts w:eastAsia="標楷體" w:hAnsi="標楷體" w:hint="eastAsia"/>
                <w:szCs w:val="32"/>
              </w:rPr>
              <w:t>證券商辦理有價證券借貸操作辦法第三十三條違約情事。</w:t>
            </w:r>
          </w:p>
          <w:p w:rsidR="0094153B" w:rsidRDefault="0094153B" w:rsidP="0094153B">
            <w:pPr>
              <w:numPr>
                <w:ilvl w:val="0"/>
                <w:numId w:val="3"/>
              </w:numPr>
              <w:spacing w:line="400" w:lineRule="exact"/>
              <w:ind w:left="459" w:hanging="567"/>
              <w:jc w:val="both"/>
              <w:rPr>
                <w:rFonts w:eastAsia="標楷體" w:hAnsi="標楷體"/>
                <w:szCs w:val="32"/>
              </w:rPr>
            </w:pPr>
            <w:r w:rsidRPr="00DD6B5D">
              <w:rPr>
                <w:rFonts w:eastAsia="標楷體" w:hAnsi="標楷體" w:hint="eastAsia"/>
                <w:szCs w:val="32"/>
              </w:rPr>
              <w:t>證券商辦理證券業務借貸款項操作辦法第二十八條違規情事。</w:t>
            </w:r>
          </w:p>
          <w:p w:rsidR="0094153B" w:rsidRDefault="0094153B" w:rsidP="0094153B">
            <w:pPr>
              <w:numPr>
                <w:ilvl w:val="0"/>
                <w:numId w:val="3"/>
              </w:numPr>
              <w:spacing w:line="400" w:lineRule="exact"/>
              <w:ind w:left="459" w:hanging="567"/>
              <w:jc w:val="both"/>
              <w:rPr>
                <w:rFonts w:eastAsia="標楷體" w:hAnsi="標楷體"/>
                <w:szCs w:val="32"/>
              </w:rPr>
            </w:pPr>
            <w:r w:rsidRPr="00DD6B5D">
              <w:rPr>
                <w:rFonts w:eastAsia="標楷體" w:hAnsi="標楷體" w:hint="eastAsia"/>
                <w:szCs w:val="32"/>
              </w:rPr>
              <w:t>「臺灣證券交易所股份有限公司有價證券借貸辦法」第四十二條、第四十五條或</w:t>
            </w:r>
            <w:r w:rsidRPr="00DD6B5D">
              <w:rPr>
                <w:rFonts w:eastAsia="標楷體" w:hAnsi="標楷體" w:hint="eastAsia"/>
                <w:szCs w:val="32"/>
              </w:rPr>
              <w:lastRenderedPageBreak/>
              <w:t>第四十九條規定情事。</w:t>
            </w:r>
          </w:p>
          <w:p w:rsidR="00643026" w:rsidRDefault="0094153B" w:rsidP="0094153B">
            <w:pPr>
              <w:numPr>
                <w:ilvl w:val="0"/>
                <w:numId w:val="3"/>
              </w:numPr>
              <w:spacing w:line="400" w:lineRule="exact"/>
              <w:ind w:left="459" w:hanging="567"/>
              <w:jc w:val="both"/>
              <w:rPr>
                <w:rFonts w:eastAsia="標楷體" w:hAnsi="標楷體"/>
                <w:szCs w:val="32"/>
              </w:rPr>
            </w:pPr>
            <w:r w:rsidRPr="00DD6B5D">
              <w:rPr>
                <w:rFonts w:eastAsia="標楷體" w:hAnsi="標楷體" w:hint="eastAsia"/>
                <w:szCs w:val="32"/>
              </w:rPr>
              <w:t>證券金融事業有價證券交割款項融資業務操作辦法或有價證券借貸業務操作辦法所定違約或違規情事。</w:t>
            </w:r>
          </w:p>
          <w:p w:rsidR="0094153B" w:rsidRPr="00694DCD" w:rsidRDefault="00643026" w:rsidP="00FA4732">
            <w:pPr>
              <w:spacing w:beforeLines="50" w:line="400" w:lineRule="exact"/>
              <w:ind w:left="-108"/>
              <w:jc w:val="both"/>
              <w:rPr>
                <w:rFonts w:eastAsia="標楷體" w:hAnsi="標楷體"/>
                <w:szCs w:val="32"/>
              </w:rPr>
            </w:pPr>
            <w:r>
              <w:rPr>
                <w:rFonts w:eastAsia="標楷體" w:hAnsi="標楷體" w:hint="eastAsia"/>
                <w:szCs w:val="32"/>
              </w:rPr>
              <w:t xml:space="preserve">   </w:t>
            </w:r>
            <w:r w:rsidR="00694DCD">
              <w:rPr>
                <w:rFonts w:eastAsia="標楷體" w:hAnsi="標楷體" w:hint="eastAsia"/>
                <w:szCs w:val="32"/>
              </w:rPr>
              <w:t xml:space="preserve"> </w:t>
            </w:r>
            <w:r w:rsidR="0094153B" w:rsidRPr="00643026">
              <w:rPr>
                <w:rFonts w:eastAsia="標楷體" w:hAnsi="標楷體" w:hint="eastAsia"/>
                <w:szCs w:val="32"/>
              </w:rPr>
              <w:t>法人或其負責人有前</w:t>
            </w:r>
            <w:r w:rsidR="00694DCD" w:rsidRPr="00694DCD">
              <w:rPr>
                <w:rFonts w:eastAsia="標楷體" w:hAnsi="標楷體" w:hint="eastAsia"/>
                <w:szCs w:val="32"/>
                <w:u w:val="single"/>
              </w:rPr>
              <w:t>四</w:t>
            </w:r>
            <w:r w:rsidR="0094153B" w:rsidRPr="00643026">
              <w:rPr>
                <w:rFonts w:eastAsia="標楷體" w:hAnsi="標楷體" w:hint="eastAsia"/>
                <w:szCs w:val="32"/>
              </w:rPr>
              <w:t>項</w:t>
            </w:r>
            <w:r w:rsidR="0094153B" w:rsidRPr="00C60732">
              <w:rPr>
                <w:rFonts w:eastAsia="標楷體" w:hAnsi="標楷體" w:hint="eastAsia"/>
                <w:szCs w:val="32"/>
              </w:rPr>
              <w:t>情事之</w:t>
            </w:r>
            <w:proofErr w:type="gramStart"/>
            <w:r w:rsidR="0094153B" w:rsidRPr="00C60732">
              <w:rPr>
                <w:rFonts w:eastAsia="標楷體" w:hAnsi="標楷體" w:hint="eastAsia"/>
                <w:szCs w:val="32"/>
              </w:rPr>
              <w:t>一</w:t>
            </w:r>
            <w:proofErr w:type="gramEnd"/>
            <w:r w:rsidR="0094153B" w:rsidRPr="00C60732">
              <w:rPr>
                <w:rFonts w:eastAsia="標楷體" w:hAnsi="標楷體" w:hint="eastAsia"/>
                <w:szCs w:val="32"/>
              </w:rPr>
              <w:t>者，其負責人或所代表之法人亦不得開立信用帳戶，已開戶者，依第一項及第</w:t>
            </w:r>
            <w:r w:rsidR="00694DCD" w:rsidRPr="00694DCD">
              <w:rPr>
                <w:rFonts w:eastAsia="標楷體" w:hAnsi="標楷體" w:hint="eastAsia"/>
                <w:szCs w:val="32"/>
                <w:u w:val="single"/>
              </w:rPr>
              <w:t>四</w:t>
            </w:r>
            <w:r w:rsidR="0094153B" w:rsidRPr="00C60732">
              <w:rPr>
                <w:rFonts w:eastAsia="標楷體" w:hAnsi="標楷體" w:hint="eastAsia"/>
                <w:szCs w:val="32"/>
              </w:rPr>
              <w:t>項規定處理。</w:t>
            </w:r>
          </w:p>
        </w:tc>
        <w:tc>
          <w:tcPr>
            <w:tcW w:w="3507" w:type="dxa"/>
            <w:vAlign w:val="center"/>
          </w:tcPr>
          <w:p w:rsidR="0094153B" w:rsidRDefault="0094153B" w:rsidP="0094153B">
            <w:pPr>
              <w:spacing w:line="400" w:lineRule="exact"/>
              <w:jc w:val="both"/>
              <w:rPr>
                <w:rFonts w:eastAsia="標楷體" w:hAnsi="標楷體"/>
                <w:szCs w:val="32"/>
              </w:rPr>
            </w:pPr>
            <w:r>
              <w:rPr>
                <w:rFonts w:eastAsia="標楷體" w:hAnsi="標楷體" w:hint="eastAsia"/>
                <w:szCs w:val="32"/>
              </w:rPr>
              <w:lastRenderedPageBreak/>
              <w:t>第十條</w:t>
            </w:r>
            <w:r>
              <w:rPr>
                <w:rFonts w:eastAsia="標楷體" w:hAnsi="標楷體" w:hint="eastAsia"/>
                <w:szCs w:val="32"/>
              </w:rPr>
              <w:t xml:space="preserve">  </w:t>
            </w:r>
          </w:p>
          <w:p w:rsidR="0094153B" w:rsidRDefault="0094153B" w:rsidP="0094153B">
            <w:pPr>
              <w:spacing w:line="400" w:lineRule="exact"/>
              <w:jc w:val="both"/>
              <w:rPr>
                <w:rFonts w:eastAsia="標楷體" w:hAnsi="標楷體"/>
                <w:szCs w:val="32"/>
              </w:rPr>
            </w:pPr>
            <w:r>
              <w:rPr>
                <w:rFonts w:eastAsia="標楷體" w:hAnsi="標楷體" w:hint="eastAsia"/>
                <w:szCs w:val="32"/>
              </w:rPr>
              <w:t xml:space="preserve">    </w:t>
            </w:r>
            <w:r w:rsidRPr="00C60732">
              <w:rPr>
                <w:rFonts w:eastAsia="標楷體" w:hAnsi="標楷體" w:hint="eastAsia"/>
                <w:szCs w:val="32"/>
              </w:rPr>
              <w:t>委託人有下列情事之</w:t>
            </w:r>
            <w:proofErr w:type="gramStart"/>
            <w:r w:rsidRPr="00C60732">
              <w:rPr>
                <w:rFonts w:eastAsia="標楷體" w:hAnsi="標楷體" w:hint="eastAsia"/>
                <w:szCs w:val="32"/>
              </w:rPr>
              <w:t>一</w:t>
            </w:r>
            <w:proofErr w:type="gramEnd"/>
            <w:r w:rsidRPr="00C60732">
              <w:rPr>
                <w:rFonts w:eastAsia="標楷體" w:hAnsi="標楷體" w:hint="eastAsia"/>
                <w:szCs w:val="32"/>
              </w:rPr>
              <w:t>者，證券商不得受理開戶。已開戶者，證券商應即通知委託人於次一營業日了結融資融券買賣後，註銷其信用帳戶；委託人逾期不結清者，證券商於次一營業日開始</w:t>
            </w:r>
            <w:proofErr w:type="gramStart"/>
            <w:r w:rsidRPr="00C60732">
              <w:rPr>
                <w:rFonts w:eastAsia="標楷體" w:hAnsi="標楷體" w:hint="eastAsia"/>
                <w:szCs w:val="32"/>
              </w:rPr>
              <w:t>準</w:t>
            </w:r>
            <w:proofErr w:type="gramEnd"/>
            <w:r w:rsidRPr="00C60732">
              <w:rPr>
                <w:rFonts w:eastAsia="標楷體" w:hAnsi="標楷體" w:hint="eastAsia"/>
                <w:szCs w:val="32"/>
              </w:rPr>
              <w:t>用第三十九條第三項規定了結買賣：</w:t>
            </w:r>
          </w:p>
          <w:p w:rsidR="0094153B" w:rsidRDefault="0094153B" w:rsidP="0094153B">
            <w:pPr>
              <w:numPr>
                <w:ilvl w:val="0"/>
                <w:numId w:val="4"/>
              </w:numPr>
              <w:spacing w:line="400" w:lineRule="exact"/>
              <w:jc w:val="both"/>
              <w:rPr>
                <w:rFonts w:eastAsia="標楷體" w:hAnsi="標楷體"/>
                <w:szCs w:val="32"/>
              </w:rPr>
            </w:pPr>
            <w:r w:rsidRPr="00C60732">
              <w:rPr>
                <w:rFonts w:eastAsia="標楷體" w:hAnsi="標楷體" w:hint="eastAsia"/>
                <w:szCs w:val="32"/>
              </w:rPr>
              <w:t>不符合開戶條件。</w:t>
            </w:r>
          </w:p>
          <w:p w:rsidR="0094153B" w:rsidRPr="0094153B" w:rsidRDefault="0094153B" w:rsidP="0094153B">
            <w:pPr>
              <w:numPr>
                <w:ilvl w:val="0"/>
                <w:numId w:val="4"/>
              </w:numPr>
              <w:spacing w:line="400" w:lineRule="exact"/>
              <w:jc w:val="both"/>
              <w:rPr>
                <w:rFonts w:eastAsia="標楷體" w:hAnsi="標楷體"/>
                <w:szCs w:val="32"/>
              </w:rPr>
            </w:pPr>
            <w:r w:rsidRPr="0094153B">
              <w:rPr>
                <w:rFonts w:eastAsia="標楷體" w:hAnsi="標楷體" w:hint="eastAsia"/>
                <w:szCs w:val="32"/>
              </w:rPr>
              <w:t>利用他人名義開立信用帳戶。</w:t>
            </w:r>
          </w:p>
          <w:p w:rsidR="0094153B" w:rsidRDefault="0094153B" w:rsidP="0094153B">
            <w:pPr>
              <w:numPr>
                <w:ilvl w:val="0"/>
                <w:numId w:val="4"/>
              </w:numPr>
              <w:spacing w:line="400" w:lineRule="exact"/>
              <w:ind w:left="459"/>
              <w:jc w:val="both"/>
              <w:rPr>
                <w:rFonts w:eastAsia="標楷體" w:hAnsi="標楷體"/>
                <w:szCs w:val="32"/>
              </w:rPr>
            </w:pPr>
            <w:r w:rsidRPr="00AC523E">
              <w:rPr>
                <w:rFonts w:eastAsia="標楷體" w:hAnsi="標楷體" w:hint="eastAsia"/>
                <w:szCs w:val="32"/>
              </w:rPr>
              <w:t>有證券交易所營業細則第七十六條第一項及第三項、櫃檯中心業務規則第四十七條第一項及第二項所定情事。但有依同細則第七十六條第三項第一款或同業務規則第四十七條第二項第一款所定情事，經證券交易所或櫃檯中心於上午十一時三十分轉知者，證券商應於次一營業日通知委託人。</w:t>
            </w:r>
          </w:p>
          <w:p w:rsidR="0094153B" w:rsidRDefault="0094153B" w:rsidP="0094153B">
            <w:pPr>
              <w:numPr>
                <w:ilvl w:val="0"/>
                <w:numId w:val="4"/>
              </w:numPr>
              <w:spacing w:line="400" w:lineRule="exact"/>
              <w:ind w:left="459"/>
              <w:jc w:val="both"/>
              <w:rPr>
                <w:rFonts w:eastAsia="標楷體" w:hAnsi="標楷體"/>
                <w:szCs w:val="32"/>
              </w:rPr>
            </w:pPr>
            <w:r w:rsidRPr="00AC523E">
              <w:rPr>
                <w:rFonts w:eastAsia="標楷體" w:hAnsi="標楷體" w:hint="eastAsia"/>
                <w:szCs w:val="32"/>
              </w:rPr>
              <w:t>在本受託證券商所開立之受託買賣帳戶經註銷者</w:t>
            </w:r>
            <w:r w:rsidRPr="00C60732">
              <w:rPr>
                <w:rFonts w:eastAsia="標楷體" w:hAnsi="標楷體" w:hint="eastAsia"/>
                <w:szCs w:val="32"/>
              </w:rPr>
              <w:t>。</w:t>
            </w:r>
          </w:p>
          <w:p w:rsidR="0094153B" w:rsidRDefault="0094153B" w:rsidP="0094153B">
            <w:pPr>
              <w:numPr>
                <w:ilvl w:val="0"/>
                <w:numId w:val="4"/>
              </w:numPr>
              <w:spacing w:line="400" w:lineRule="exact"/>
              <w:ind w:left="459"/>
              <w:jc w:val="both"/>
              <w:rPr>
                <w:rFonts w:eastAsia="標楷體" w:hAnsi="標楷體"/>
                <w:szCs w:val="32"/>
              </w:rPr>
            </w:pPr>
            <w:r w:rsidRPr="00AC523E">
              <w:rPr>
                <w:rFonts w:eastAsia="標楷體" w:hAnsi="標楷體" w:hint="eastAsia"/>
                <w:szCs w:val="32"/>
              </w:rPr>
              <w:t>在本證券商有下列情事之</w:t>
            </w:r>
            <w:proofErr w:type="gramStart"/>
            <w:r w:rsidRPr="00AC523E">
              <w:rPr>
                <w:rFonts w:eastAsia="標楷體" w:hAnsi="標楷體" w:hint="eastAsia"/>
                <w:szCs w:val="32"/>
              </w:rPr>
              <w:t>一</w:t>
            </w:r>
            <w:proofErr w:type="gramEnd"/>
            <w:r w:rsidRPr="00AC523E">
              <w:rPr>
                <w:rFonts w:eastAsia="標楷體" w:hAnsi="標楷體" w:hint="eastAsia"/>
                <w:szCs w:val="32"/>
              </w:rPr>
              <w:t>且未結案者：</w:t>
            </w:r>
          </w:p>
          <w:p w:rsidR="0094153B" w:rsidRDefault="0094153B" w:rsidP="0094153B">
            <w:pPr>
              <w:numPr>
                <w:ilvl w:val="0"/>
                <w:numId w:val="5"/>
              </w:numPr>
              <w:spacing w:line="400" w:lineRule="exact"/>
              <w:jc w:val="both"/>
              <w:rPr>
                <w:rFonts w:eastAsia="標楷體" w:hAnsi="標楷體"/>
                <w:szCs w:val="32"/>
              </w:rPr>
            </w:pPr>
            <w:r w:rsidRPr="00AC523E">
              <w:rPr>
                <w:rFonts w:eastAsia="標楷體" w:hAnsi="標楷體" w:hint="eastAsia"/>
                <w:szCs w:val="32"/>
              </w:rPr>
              <w:t>證券交易所營業細則第九十一條或櫃檯中心業務規則第八十七條</w:t>
            </w:r>
            <w:proofErr w:type="gramStart"/>
            <w:r w:rsidRPr="00AC523E">
              <w:rPr>
                <w:rFonts w:eastAsia="標楷體" w:hAnsi="標楷體" w:hint="eastAsia"/>
                <w:szCs w:val="32"/>
              </w:rPr>
              <w:t>不</w:t>
            </w:r>
            <w:proofErr w:type="gramEnd"/>
            <w:r w:rsidRPr="00AC523E">
              <w:rPr>
                <w:rFonts w:eastAsia="標楷體" w:hAnsi="標楷體" w:hint="eastAsia"/>
                <w:szCs w:val="32"/>
              </w:rPr>
              <w:t>如期履行交割義務情事。</w:t>
            </w:r>
          </w:p>
          <w:p w:rsidR="0094153B" w:rsidRDefault="0094153B" w:rsidP="0094153B">
            <w:pPr>
              <w:numPr>
                <w:ilvl w:val="0"/>
                <w:numId w:val="5"/>
              </w:numPr>
              <w:spacing w:line="400" w:lineRule="exact"/>
              <w:jc w:val="both"/>
              <w:rPr>
                <w:rFonts w:eastAsia="標楷體" w:hAnsi="標楷體"/>
                <w:szCs w:val="32"/>
              </w:rPr>
            </w:pPr>
            <w:r w:rsidRPr="00AC523E">
              <w:rPr>
                <w:rFonts w:eastAsia="標楷體" w:hAnsi="標楷體" w:hint="eastAsia"/>
                <w:szCs w:val="32"/>
              </w:rPr>
              <w:t>違反與本證券商所訂融資融券契約。</w:t>
            </w:r>
          </w:p>
          <w:p w:rsidR="0094153B" w:rsidRDefault="0094153B" w:rsidP="0094153B">
            <w:pPr>
              <w:numPr>
                <w:ilvl w:val="0"/>
                <w:numId w:val="5"/>
              </w:numPr>
              <w:spacing w:line="400" w:lineRule="exact"/>
              <w:jc w:val="both"/>
              <w:rPr>
                <w:rFonts w:eastAsia="標楷體" w:hAnsi="標楷體"/>
                <w:szCs w:val="32"/>
              </w:rPr>
            </w:pPr>
            <w:r w:rsidRPr="00AC523E">
              <w:rPr>
                <w:rFonts w:eastAsia="標楷體" w:hAnsi="標楷體" w:hint="eastAsia"/>
                <w:szCs w:val="32"/>
              </w:rPr>
              <w:lastRenderedPageBreak/>
              <w:t>證券商辦理有價證券借貸操作辦法第三十三條違約情事。</w:t>
            </w:r>
          </w:p>
          <w:p w:rsidR="0094153B" w:rsidRDefault="0094153B" w:rsidP="0094153B">
            <w:pPr>
              <w:numPr>
                <w:ilvl w:val="0"/>
                <w:numId w:val="5"/>
              </w:numPr>
              <w:spacing w:line="400" w:lineRule="exact"/>
              <w:jc w:val="both"/>
              <w:rPr>
                <w:rFonts w:eastAsia="標楷體" w:hAnsi="標楷體"/>
                <w:szCs w:val="32"/>
              </w:rPr>
            </w:pPr>
            <w:r w:rsidRPr="00AC523E">
              <w:rPr>
                <w:rFonts w:eastAsia="標楷體" w:hAnsi="標楷體" w:hint="eastAsia"/>
                <w:szCs w:val="32"/>
              </w:rPr>
              <w:t>證券商辦理證券業務借貸款項操作辦法第二十八條違規情事。</w:t>
            </w:r>
          </w:p>
          <w:p w:rsidR="0094153B" w:rsidRDefault="0094153B" w:rsidP="0094153B">
            <w:pPr>
              <w:numPr>
                <w:ilvl w:val="0"/>
                <w:numId w:val="4"/>
              </w:numPr>
              <w:spacing w:line="400" w:lineRule="exact"/>
              <w:ind w:hanging="588"/>
              <w:jc w:val="both"/>
              <w:rPr>
                <w:rFonts w:eastAsia="標楷體" w:hAnsi="標楷體"/>
                <w:szCs w:val="32"/>
              </w:rPr>
            </w:pPr>
            <w:r w:rsidRPr="00AC523E">
              <w:rPr>
                <w:rFonts w:eastAsia="標楷體" w:hAnsi="標楷體" w:hint="eastAsia"/>
                <w:szCs w:val="32"/>
              </w:rPr>
              <w:t>經依公司法、破產法為重整、和解、破產之聲請</w:t>
            </w:r>
            <w:r>
              <w:rPr>
                <w:rFonts w:eastAsia="標楷體" w:hAnsi="標楷體" w:hint="eastAsia"/>
                <w:szCs w:val="32"/>
              </w:rPr>
              <w:t>者。</w:t>
            </w:r>
          </w:p>
          <w:p w:rsidR="0094153B" w:rsidRPr="0094153B" w:rsidRDefault="0094153B" w:rsidP="0094153B">
            <w:pPr>
              <w:numPr>
                <w:ilvl w:val="0"/>
                <w:numId w:val="4"/>
              </w:numPr>
              <w:spacing w:line="400" w:lineRule="exact"/>
              <w:ind w:hanging="588"/>
              <w:jc w:val="both"/>
              <w:rPr>
                <w:rFonts w:eastAsia="標楷體" w:hAnsi="標楷體"/>
                <w:szCs w:val="32"/>
              </w:rPr>
            </w:pPr>
            <w:r w:rsidRPr="00AC523E">
              <w:rPr>
                <w:rFonts w:eastAsia="標楷體" w:hAnsi="標楷體" w:hint="eastAsia"/>
                <w:szCs w:val="32"/>
              </w:rPr>
              <w:t>經票據交換所拒絕往來者</w:t>
            </w:r>
            <w:r w:rsidRPr="0094153B">
              <w:rPr>
                <w:rFonts w:eastAsia="標楷體" w:hAnsi="標楷體" w:hint="eastAsia"/>
                <w:szCs w:val="32"/>
              </w:rPr>
              <w:t>。</w:t>
            </w:r>
          </w:p>
          <w:p w:rsidR="0094153B" w:rsidRDefault="0094153B" w:rsidP="0094153B">
            <w:pPr>
              <w:spacing w:line="400" w:lineRule="exact"/>
              <w:ind w:left="480"/>
              <w:jc w:val="both"/>
              <w:rPr>
                <w:rFonts w:eastAsia="標楷體" w:hAnsi="標楷體"/>
                <w:szCs w:val="32"/>
              </w:rPr>
            </w:pPr>
          </w:p>
          <w:p w:rsidR="00CC60B7" w:rsidRDefault="0094153B" w:rsidP="0094153B">
            <w:pPr>
              <w:spacing w:line="400" w:lineRule="exact"/>
              <w:jc w:val="both"/>
              <w:rPr>
                <w:rFonts w:eastAsia="標楷體" w:hAnsi="標楷體"/>
                <w:szCs w:val="32"/>
              </w:rPr>
            </w:pPr>
            <w:r>
              <w:rPr>
                <w:rFonts w:eastAsia="標楷體" w:hAnsi="標楷體" w:hint="eastAsia"/>
                <w:szCs w:val="32"/>
              </w:rPr>
              <w:t xml:space="preserve">  </w:t>
            </w:r>
          </w:p>
          <w:p w:rsidR="00812707" w:rsidRDefault="00CC60B7" w:rsidP="0094153B">
            <w:pPr>
              <w:spacing w:line="400" w:lineRule="exact"/>
              <w:jc w:val="both"/>
              <w:rPr>
                <w:rFonts w:eastAsia="標楷體" w:hAnsi="標楷體"/>
                <w:szCs w:val="32"/>
              </w:rPr>
            </w:pPr>
            <w:r>
              <w:rPr>
                <w:rFonts w:eastAsia="標楷體" w:hAnsi="標楷體" w:hint="eastAsia"/>
                <w:szCs w:val="32"/>
              </w:rPr>
              <w:t xml:space="preserve">  </w:t>
            </w:r>
          </w:p>
          <w:p w:rsidR="00812707" w:rsidRDefault="00812707" w:rsidP="0094153B">
            <w:pPr>
              <w:spacing w:line="400" w:lineRule="exact"/>
              <w:jc w:val="both"/>
              <w:rPr>
                <w:rFonts w:eastAsia="標楷體" w:hAnsi="標楷體"/>
                <w:szCs w:val="32"/>
              </w:rPr>
            </w:pPr>
          </w:p>
          <w:p w:rsidR="00812707" w:rsidRDefault="00812707" w:rsidP="0094153B">
            <w:pPr>
              <w:spacing w:line="400" w:lineRule="exact"/>
              <w:jc w:val="both"/>
              <w:rPr>
                <w:rFonts w:eastAsia="標楷體" w:hAnsi="標楷體"/>
                <w:szCs w:val="32"/>
              </w:rPr>
            </w:pPr>
          </w:p>
          <w:p w:rsidR="00643026" w:rsidRDefault="00812707" w:rsidP="00643026">
            <w:pPr>
              <w:spacing w:line="400" w:lineRule="exact"/>
              <w:jc w:val="both"/>
              <w:rPr>
                <w:rFonts w:eastAsia="標楷體" w:hAnsi="標楷體"/>
                <w:szCs w:val="32"/>
              </w:rPr>
            </w:pPr>
            <w:r>
              <w:rPr>
                <w:rFonts w:eastAsia="標楷體" w:hAnsi="標楷體" w:hint="eastAsia"/>
                <w:szCs w:val="32"/>
              </w:rPr>
              <w:t xml:space="preserve">  </w:t>
            </w:r>
          </w:p>
          <w:p w:rsidR="0094153B" w:rsidRPr="00C60732" w:rsidRDefault="00643026" w:rsidP="00FA4732">
            <w:pPr>
              <w:spacing w:beforeLines="80" w:line="400" w:lineRule="exact"/>
              <w:jc w:val="both"/>
              <w:rPr>
                <w:rFonts w:eastAsia="標楷體" w:hAnsi="標楷體"/>
                <w:szCs w:val="32"/>
              </w:rPr>
            </w:pPr>
            <w:r>
              <w:rPr>
                <w:rFonts w:eastAsia="標楷體" w:hAnsi="標楷體" w:hint="eastAsia"/>
                <w:szCs w:val="32"/>
              </w:rPr>
              <w:t xml:space="preserve">   </w:t>
            </w:r>
            <w:r w:rsidR="0094153B" w:rsidRPr="00C60732">
              <w:rPr>
                <w:rFonts w:eastAsia="標楷體" w:hAnsi="標楷體" w:hint="eastAsia"/>
                <w:szCs w:val="32"/>
              </w:rPr>
              <w:t>信用帳戶內之款項及有價證券經法院為假扣押、假處分、強制執行之裁定者，</w:t>
            </w:r>
            <w:proofErr w:type="gramStart"/>
            <w:r w:rsidR="0094153B" w:rsidRPr="00C60732">
              <w:rPr>
                <w:rFonts w:eastAsia="標楷體" w:hAnsi="標楷體" w:hint="eastAsia"/>
                <w:szCs w:val="32"/>
              </w:rPr>
              <w:t>準</w:t>
            </w:r>
            <w:proofErr w:type="gramEnd"/>
            <w:r w:rsidR="0094153B" w:rsidRPr="00C60732">
              <w:rPr>
                <w:rFonts w:eastAsia="標楷體" w:hAnsi="標楷體" w:hint="eastAsia"/>
                <w:szCs w:val="32"/>
              </w:rPr>
              <w:t>用前項規定處理。</w:t>
            </w:r>
          </w:p>
          <w:p w:rsidR="0094153B" w:rsidRDefault="0094153B" w:rsidP="0094153B">
            <w:pPr>
              <w:spacing w:line="400" w:lineRule="exact"/>
              <w:jc w:val="both"/>
              <w:rPr>
                <w:rFonts w:eastAsia="標楷體" w:hAnsi="標楷體"/>
                <w:szCs w:val="32"/>
              </w:rPr>
            </w:pPr>
            <w:r w:rsidRPr="00C60732">
              <w:rPr>
                <w:rFonts w:eastAsia="標楷體" w:hAnsi="標楷體" w:hint="eastAsia"/>
                <w:szCs w:val="32"/>
              </w:rPr>
              <w:t xml:space="preserve">  </w:t>
            </w:r>
            <w:r w:rsidR="00D8232C">
              <w:rPr>
                <w:rFonts w:eastAsia="標楷體" w:hAnsi="標楷體" w:hint="eastAsia"/>
                <w:szCs w:val="32"/>
              </w:rPr>
              <w:t xml:space="preserve"> </w:t>
            </w:r>
            <w:r>
              <w:rPr>
                <w:rFonts w:eastAsia="標楷體" w:hAnsi="標楷體" w:hint="eastAsia"/>
                <w:szCs w:val="32"/>
              </w:rPr>
              <w:t xml:space="preserve"> </w:t>
            </w:r>
            <w:r w:rsidRPr="00C60732">
              <w:rPr>
                <w:rFonts w:eastAsia="標楷體" w:hAnsi="標楷體" w:hint="eastAsia"/>
                <w:szCs w:val="32"/>
              </w:rPr>
              <w:t>委託人於他證券商、證券金融事業或證券交易所有下列情事之</w:t>
            </w:r>
            <w:proofErr w:type="gramStart"/>
            <w:r w:rsidRPr="00C60732">
              <w:rPr>
                <w:rFonts w:eastAsia="標楷體" w:hAnsi="標楷體" w:hint="eastAsia"/>
                <w:szCs w:val="32"/>
              </w:rPr>
              <w:t>一</w:t>
            </w:r>
            <w:proofErr w:type="gramEnd"/>
            <w:r w:rsidRPr="00C60732">
              <w:rPr>
                <w:rFonts w:eastAsia="標楷體" w:hAnsi="標楷體" w:hint="eastAsia"/>
                <w:szCs w:val="32"/>
              </w:rPr>
              <w:t>且未結案者，證券商不得受理開戶。已開戶者，證券商不得受託為融資買進、融券賣出交易，委託人了結融資融券買賣後，應即註銷其信用帳戶。</w:t>
            </w:r>
          </w:p>
          <w:p w:rsidR="0094153B" w:rsidRDefault="0094153B" w:rsidP="00CC60B7">
            <w:pPr>
              <w:numPr>
                <w:ilvl w:val="0"/>
                <w:numId w:val="6"/>
              </w:numPr>
              <w:spacing w:line="400" w:lineRule="exact"/>
              <w:ind w:hanging="585"/>
              <w:jc w:val="both"/>
              <w:rPr>
                <w:rFonts w:eastAsia="標楷體" w:hAnsi="標楷體"/>
                <w:szCs w:val="32"/>
              </w:rPr>
            </w:pPr>
            <w:r w:rsidRPr="00C60732">
              <w:rPr>
                <w:rFonts w:eastAsia="標楷體" w:hAnsi="標楷體" w:hint="eastAsia"/>
                <w:szCs w:val="32"/>
              </w:rPr>
              <w:t>違反與證券商或證券</w:t>
            </w:r>
            <w:r>
              <w:rPr>
                <w:rFonts w:eastAsia="標楷體" w:hAnsi="標楷體" w:hint="eastAsia"/>
                <w:szCs w:val="32"/>
              </w:rPr>
              <w:t>金</w:t>
            </w:r>
            <w:r>
              <w:rPr>
                <w:rFonts w:eastAsia="標楷體" w:hAnsi="標楷體" w:hint="eastAsia"/>
                <w:szCs w:val="32"/>
              </w:rPr>
              <w:t xml:space="preserve">               </w:t>
            </w:r>
            <w:r w:rsidRPr="00AC523E">
              <w:rPr>
                <w:rFonts w:eastAsia="標楷體" w:hAnsi="標楷體" w:hint="eastAsia"/>
                <w:szCs w:val="32"/>
              </w:rPr>
              <w:t>融事業所訂融資融券契約。</w:t>
            </w:r>
          </w:p>
          <w:p w:rsidR="0094153B" w:rsidRDefault="0094153B" w:rsidP="00CC60B7">
            <w:pPr>
              <w:numPr>
                <w:ilvl w:val="0"/>
                <w:numId w:val="6"/>
              </w:numPr>
              <w:spacing w:line="400" w:lineRule="exact"/>
              <w:ind w:left="459" w:hanging="567"/>
              <w:jc w:val="both"/>
              <w:rPr>
                <w:rFonts w:eastAsia="標楷體" w:hAnsi="標楷體"/>
                <w:szCs w:val="32"/>
              </w:rPr>
            </w:pPr>
            <w:r w:rsidRPr="00AC523E">
              <w:rPr>
                <w:rFonts w:eastAsia="標楷體" w:hAnsi="標楷體" w:hint="eastAsia"/>
                <w:szCs w:val="32"/>
              </w:rPr>
              <w:t>證券商辦理有價證券借貸操作辦法第三十三條違約情事。</w:t>
            </w:r>
          </w:p>
          <w:p w:rsidR="0094153B" w:rsidRDefault="0094153B" w:rsidP="00CC60B7">
            <w:pPr>
              <w:numPr>
                <w:ilvl w:val="0"/>
                <w:numId w:val="6"/>
              </w:numPr>
              <w:spacing w:line="400" w:lineRule="exact"/>
              <w:ind w:left="459" w:hanging="567"/>
              <w:jc w:val="both"/>
              <w:rPr>
                <w:rFonts w:eastAsia="標楷體" w:hAnsi="標楷體"/>
                <w:szCs w:val="32"/>
              </w:rPr>
            </w:pPr>
            <w:r w:rsidRPr="00DD6B5D">
              <w:rPr>
                <w:rFonts w:eastAsia="標楷體" w:hAnsi="標楷體" w:hint="eastAsia"/>
                <w:szCs w:val="32"/>
              </w:rPr>
              <w:t>證券商辦理證券業務借貸款項操作辦法第二十八條違規情事。</w:t>
            </w:r>
          </w:p>
          <w:p w:rsidR="0094153B" w:rsidRDefault="0094153B" w:rsidP="00CC60B7">
            <w:pPr>
              <w:numPr>
                <w:ilvl w:val="0"/>
                <w:numId w:val="6"/>
              </w:numPr>
              <w:spacing w:line="400" w:lineRule="exact"/>
              <w:ind w:left="459" w:hanging="567"/>
              <w:jc w:val="both"/>
              <w:rPr>
                <w:rFonts w:eastAsia="標楷體" w:hAnsi="標楷體"/>
                <w:szCs w:val="32"/>
              </w:rPr>
            </w:pPr>
            <w:r w:rsidRPr="00DD6B5D">
              <w:rPr>
                <w:rFonts w:eastAsia="標楷體" w:hAnsi="標楷體" w:hint="eastAsia"/>
                <w:szCs w:val="32"/>
              </w:rPr>
              <w:t>「臺灣證券交易所股份有限公司有價證券借貸辦法」第四十二條、第四十五條或</w:t>
            </w:r>
            <w:r w:rsidRPr="00DD6B5D">
              <w:rPr>
                <w:rFonts w:eastAsia="標楷體" w:hAnsi="標楷體" w:hint="eastAsia"/>
                <w:szCs w:val="32"/>
              </w:rPr>
              <w:lastRenderedPageBreak/>
              <w:t>第四十九條規定情事。</w:t>
            </w:r>
          </w:p>
          <w:p w:rsidR="0094153B" w:rsidRPr="00DD6B5D" w:rsidRDefault="0094153B" w:rsidP="00CC60B7">
            <w:pPr>
              <w:numPr>
                <w:ilvl w:val="0"/>
                <w:numId w:val="6"/>
              </w:numPr>
              <w:spacing w:line="400" w:lineRule="exact"/>
              <w:ind w:left="459" w:hanging="567"/>
              <w:jc w:val="both"/>
              <w:rPr>
                <w:rFonts w:eastAsia="標楷體" w:hAnsi="標楷體"/>
                <w:szCs w:val="32"/>
              </w:rPr>
            </w:pPr>
            <w:r w:rsidRPr="00DD6B5D">
              <w:rPr>
                <w:rFonts w:eastAsia="標楷體" w:hAnsi="標楷體" w:hint="eastAsia"/>
                <w:szCs w:val="32"/>
              </w:rPr>
              <w:t>證券金融事業有價證券交割款項融資業務操作辦法或有價證券借貸業務操作辦法所定違約或違規情事。</w:t>
            </w:r>
          </w:p>
          <w:p w:rsidR="0094153B" w:rsidRPr="00D56DAC" w:rsidRDefault="0094153B" w:rsidP="00FA4732">
            <w:pPr>
              <w:spacing w:beforeLines="50" w:line="400" w:lineRule="exact"/>
              <w:ind w:left="-108"/>
              <w:jc w:val="both"/>
              <w:rPr>
                <w:rFonts w:eastAsia="標楷體" w:hAnsi="標楷體"/>
                <w:szCs w:val="32"/>
              </w:rPr>
            </w:pPr>
            <w:r w:rsidRPr="00C60732">
              <w:rPr>
                <w:rFonts w:eastAsia="標楷體" w:hAnsi="標楷體" w:hint="eastAsia"/>
                <w:szCs w:val="32"/>
              </w:rPr>
              <w:t xml:space="preserve"> </w:t>
            </w:r>
            <w:r>
              <w:rPr>
                <w:rFonts w:eastAsia="標楷體" w:hAnsi="標楷體" w:hint="eastAsia"/>
                <w:szCs w:val="32"/>
              </w:rPr>
              <w:t xml:space="preserve">  </w:t>
            </w:r>
            <w:r w:rsidRPr="00C60732">
              <w:rPr>
                <w:rFonts w:eastAsia="標楷體" w:hAnsi="標楷體" w:hint="eastAsia"/>
                <w:szCs w:val="32"/>
              </w:rPr>
              <w:t xml:space="preserve"> </w:t>
            </w:r>
            <w:r w:rsidR="00643026" w:rsidRPr="00643026">
              <w:rPr>
                <w:rFonts w:eastAsia="標楷體" w:hAnsi="標楷體" w:hint="eastAsia"/>
                <w:szCs w:val="32"/>
              </w:rPr>
              <w:t>法人或其負責人有前三項</w:t>
            </w:r>
            <w:r w:rsidR="00643026" w:rsidRPr="00C60732">
              <w:rPr>
                <w:rFonts w:eastAsia="標楷體" w:hAnsi="標楷體" w:hint="eastAsia"/>
                <w:szCs w:val="32"/>
              </w:rPr>
              <w:t>情事之一者，其負責人或所代表之法人亦不得開立信用帳戶，已開戶者，依第一項及第三項規定處理。</w:t>
            </w:r>
          </w:p>
        </w:tc>
        <w:tc>
          <w:tcPr>
            <w:tcW w:w="3508" w:type="dxa"/>
          </w:tcPr>
          <w:p w:rsidR="0002752B" w:rsidRDefault="00CC60B7" w:rsidP="004D0937">
            <w:pPr>
              <w:pStyle w:val="a8"/>
              <w:numPr>
                <w:ilvl w:val="0"/>
                <w:numId w:val="7"/>
              </w:numPr>
              <w:tabs>
                <w:tab w:val="left" w:pos="-210"/>
                <w:tab w:val="left" w:pos="0"/>
              </w:tabs>
              <w:spacing w:line="400" w:lineRule="exact"/>
              <w:ind w:leftChars="0"/>
              <w:jc w:val="both"/>
              <w:rPr>
                <w:rFonts w:eastAsia="標楷體" w:hAnsi="標楷體"/>
              </w:rPr>
            </w:pPr>
            <w:r w:rsidRPr="0002752B">
              <w:rPr>
                <w:rFonts w:eastAsia="標楷體" w:hAnsi="標楷體" w:hint="eastAsia"/>
              </w:rPr>
              <w:lastRenderedPageBreak/>
              <w:t>現行證券商受理客戶開立信用交易帳戶，應就</w:t>
            </w:r>
            <w:r w:rsidR="005A5E52" w:rsidRPr="0002752B">
              <w:rPr>
                <w:rFonts w:eastAsia="標楷體" w:hAnsi="標楷體" w:hint="eastAsia"/>
              </w:rPr>
              <w:t>申請開戶者</w:t>
            </w:r>
            <w:r w:rsidRPr="0002752B">
              <w:rPr>
                <w:rFonts w:eastAsia="標楷體" w:hAnsi="標楷體" w:hint="eastAsia"/>
              </w:rPr>
              <w:t>辦理票據信用</w:t>
            </w:r>
            <w:r w:rsidR="009B7FC0" w:rsidRPr="0002752B">
              <w:rPr>
                <w:rFonts w:eastAsia="標楷體" w:hAnsi="標楷體" w:hint="eastAsia"/>
              </w:rPr>
              <w:t>資料</w:t>
            </w:r>
            <w:r w:rsidRPr="0002752B">
              <w:rPr>
                <w:rFonts w:eastAsia="標楷體" w:hAnsi="標楷體" w:hint="eastAsia"/>
              </w:rPr>
              <w:t>查詢，</w:t>
            </w:r>
            <w:proofErr w:type="gramStart"/>
            <w:r w:rsidR="009E232C" w:rsidRPr="0002752B">
              <w:rPr>
                <w:rFonts w:eastAsia="標楷體" w:hAnsi="標楷體" w:hint="eastAsia"/>
              </w:rPr>
              <w:t>鑑</w:t>
            </w:r>
            <w:proofErr w:type="gramEnd"/>
            <w:r w:rsidR="009E232C" w:rsidRPr="0002752B">
              <w:rPr>
                <w:rFonts w:eastAsia="標楷體" w:hAnsi="標楷體" w:hint="eastAsia"/>
              </w:rPr>
              <w:t>於申請融資額度</w:t>
            </w:r>
            <w:proofErr w:type="gramStart"/>
            <w:r w:rsidR="009E232C" w:rsidRPr="0002752B">
              <w:rPr>
                <w:rFonts w:eastAsia="標楷體" w:hAnsi="標楷體" w:hint="eastAsia"/>
              </w:rPr>
              <w:t>未逾新臺幣</w:t>
            </w:r>
            <w:proofErr w:type="gramEnd"/>
            <w:r w:rsidR="009E232C" w:rsidRPr="0002752B">
              <w:rPr>
                <w:rFonts w:eastAsia="標楷體" w:hAnsi="標楷體" w:hint="eastAsia"/>
              </w:rPr>
              <w:t>五十萬元之客戶，對於授信機構授信風險有限，衡酌證券商辦理投資人票據信用</w:t>
            </w:r>
            <w:r w:rsidR="009B7FC0" w:rsidRPr="0002752B">
              <w:rPr>
                <w:rFonts w:eastAsia="標楷體" w:hAnsi="標楷體" w:hint="eastAsia"/>
              </w:rPr>
              <w:t>資料</w:t>
            </w:r>
            <w:r w:rsidR="009E232C" w:rsidRPr="0002752B">
              <w:rPr>
                <w:rFonts w:eastAsia="標楷體" w:hAnsi="標楷體" w:hint="eastAsia"/>
              </w:rPr>
              <w:t>查詢之實務作業成本及效益，並參酌「證券商辦理有價證券買賣融資融券業務信用交易帳戶開立條件」之</w:t>
            </w:r>
            <w:r w:rsidRPr="0002752B">
              <w:rPr>
                <w:rFonts w:eastAsia="標楷體" w:hAnsi="標楷體" w:hint="eastAsia"/>
              </w:rPr>
              <w:t>規定，</w:t>
            </w:r>
            <w:r w:rsidR="009E232C" w:rsidRPr="0002752B">
              <w:rPr>
                <w:rFonts w:eastAsia="標楷體" w:hAnsi="標楷體" w:hint="eastAsia"/>
              </w:rPr>
              <w:t>就客戶申請之融資額度</w:t>
            </w:r>
            <w:r w:rsidR="009E232C" w:rsidRPr="0002752B">
              <w:rPr>
                <w:rFonts w:eastAsia="標楷體" w:hAnsi="標楷體" w:hint="eastAsia"/>
              </w:rPr>
              <w:t>(</w:t>
            </w:r>
            <w:r w:rsidR="009E232C" w:rsidRPr="0002752B">
              <w:rPr>
                <w:rFonts w:eastAsia="標楷體" w:hAnsi="標楷體" w:hint="eastAsia"/>
              </w:rPr>
              <w:t>含委託人於同一證券商之其他授信業務已核定額度</w:t>
            </w:r>
            <w:r w:rsidR="009E232C" w:rsidRPr="0002752B">
              <w:rPr>
                <w:rFonts w:eastAsia="標楷體" w:hAnsi="標楷體" w:hint="eastAsia"/>
              </w:rPr>
              <w:t>)</w:t>
            </w:r>
            <w:proofErr w:type="gramStart"/>
            <w:r w:rsidR="009E232C" w:rsidRPr="0002752B">
              <w:rPr>
                <w:rFonts w:eastAsia="標楷體" w:hAnsi="標楷體" w:hint="eastAsia"/>
              </w:rPr>
              <w:t>未逾新臺幣</w:t>
            </w:r>
            <w:proofErr w:type="gramEnd"/>
            <w:r w:rsidR="009E232C" w:rsidRPr="0002752B">
              <w:rPr>
                <w:rFonts w:eastAsia="標楷體" w:hAnsi="標楷體" w:hint="eastAsia"/>
              </w:rPr>
              <w:t>五十萬元者，開戶時無須檢附所得及財力</w:t>
            </w:r>
            <w:r w:rsidR="00D454AD" w:rsidRPr="0002752B">
              <w:rPr>
                <w:rFonts w:eastAsia="標楷體" w:hAnsi="標楷體" w:hint="eastAsia"/>
              </w:rPr>
              <w:t>證明之精神，</w:t>
            </w:r>
            <w:proofErr w:type="gramStart"/>
            <w:r w:rsidR="00D86E69" w:rsidRPr="0002752B">
              <w:rPr>
                <w:rFonts w:eastAsia="標楷體" w:hAnsi="標楷體" w:hint="eastAsia"/>
              </w:rPr>
              <w:t>爰</w:t>
            </w:r>
            <w:proofErr w:type="gramEnd"/>
            <w:r w:rsidR="001035E4" w:rsidRPr="0002752B">
              <w:rPr>
                <w:rFonts w:eastAsia="標楷體" w:hAnsi="標楷體" w:hint="eastAsia"/>
              </w:rPr>
              <w:t>增訂第二項</w:t>
            </w:r>
            <w:r w:rsidR="00D86E69" w:rsidRPr="0002752B">
              <w:rPr>
                <w:rFonts w:eastAsia="標楷體" w:hAnsi="標楷體" w:hint="eastAsia"/>
              </w:rPr>
              <w:t>規範</w:t>
            </w:r>
            <w:r w:rsidR="00D454AD" w:rsidRPr="0002752B">
              <w:rPr>
                <w:rFonts w:eastAsia="標楷體" w:hAnsi="標楷體" w:hint="eastAsia"/>
              </w:rPr>
              <w:t>該類投資人申請開立信用帳戶，如</w:t>
            </w:r>
            <w:r w:rsidR="009E232C" w:rsidRPr="0002752B">
              <w:rPr>
                <w:rFonts w:eastAsia="標楷體" w:hAnsi="標楷體" w:hint="eastAsia"/>
              </w:rPr>
              <w:t>額度</w:t>
            </w:r>
            <w:proofErr w:type="gramStart"/>
            <w:r w:rsidR="009E232C" w:rsidRPr="0002752B">
              <w:rPr>
                <w:rFonts w:eastAsia="標楷體" w:hAnsi="標楷體" w:hint="eastAsia"/>
              </w:rPr>
              <w:t>未逾新臺幣</w:t>
            </w:r>
            <w:proofErr w:type="gramEnd"/>
            <w:r w:rsidR="009E232C" w:rsidRPr="0002752B">
              <w:rPr>
                <w:rFonts w:eastAsia="標楷體" w:hAnsi="標楷體" w:hint="eastAsia"/>
              </w:rPr>
              <w:t>五十萬元者，</w:t>
            </w:r>
            <w:r w:rsidR="009F675A" w:rsidRPr="0002752B">
              <w:rPr>
                <w:rFonts w:eastAsia="標楷體" w:hAnsi="標楷體" w:hint="eastAsia"/>
              </w:rPr>
              <w:t>證券商得免辦理</w:t>
            </w:r>
            <w:r w:rsidR="009B7FC0" w:rsidRPr="0002752B">
              <w:rPr>
                <w:rFonts w:eastAsia="標楷體" w:hAnsi="標楷體" w:hint="eastAsia"/>
              </w:rPr>
              <w:t>票據信用資料查詢</w:t>
            </w:r>
            <w:r w:rsidR="002B2DB8" w:rsidRPr="0002752B">
              <w:rPr>
                <w:rFonts w:eastAsia="標楷體" w:hAnsi="標楷體" w:hint="eastAsia"/>
              </w:rPr>
              <w:t>。</w:t>
            </w:r>
          </w:p>
          <w:p w:rsidR="001035E4" w:rsidRPr="0002752B" w:rsidRDefault="002B2DB8" w:rsidP="001035E4">
            <w:pPr>
              <w:pStyle w:val="a8"/>
              <w:numPr>
                <w:ilvl w:val="0"/>
                <w:numId w:val="7"/>
              </w:numPr>
              <w:tabs>
                <w:tab w:val="left" w:pos="-210"/>
                <w:tab w:val="left" w:pos="0"/>
              </w:tabs>
              <w:spacing w:line="400" w:lineRule="exact"/>
              <w:ind w:leftChars="0"/>
              <w:rPr>
                <w:rFonts w:eastAsia="標楷體" w:hAnsi="標楷體"/>
              </w:rPr>
            </w:pPr>
            <w:r w:rsidRPr="0002752B">
              <w:rPr>
                <w:rFonts w:eastAsia="標楷體" w:hAnsi="標楷體"/>
              </w:rPr>
              <w:t>配合新增</w:t>
            </w:r>
            <w:r w:rsidR="004D0937" w:rsidRPr="0002752B">
              <w:rPr>
                <w:rFonts w:eastAsia="標楷體" w:hAnsi="標楷體"/>
              </w:rPr>
              <w:t>第二項</w:t>
            </w:r>
            <w:r w:rsidRPr="0002752B">
              <w:rPr>
                <w:rFonts w:eastAsia="標楷體" w:hAnsi="標楷體"/>
              </w:rPr>
              <w:t>，</w:t>
            </w:r>
            <w:r w:rsidR="00D86E69" w:rsidRPr="0002752B">
              <w:rPr>
                <w:rFonts w:eastAsia="標楷體" w:hAnsi="標楷體" w:hint="eastAsia"/>
              </w:rPr>
              <w:t>現行第二項</w:t>
            </w:r>
            <w:r w:rsidR="004D0937">
              <w:rPr>
                <w:rFonts w:eastAsia="標楷體" w:hAnsi="標楷體" w:hint="eastAsia"/>
              </w:rPr>
              <w:t>至第</w:t>
            </w:r>
            <w:r w:rsidR="00A94E85" w:rsidRPr="0002752B">
              <w:rPr>
                <w:rFonts w:eastAsia="標楷體" w:hAnsi="標楷體" w:hint="eastAsia"/>
              </w:rPr>
              <w:t>四項移列</w:t>
            </w:r>
            <w:r w:rsidR="004D0937">
              <w:rPr>
                <w:rFonts w:eastAsia="標楷體" w:hAnsi="標楷體" w:hint="eastAsia"/>
              </w:rPr>
              <w:t>為</w:t>
            </w:r>
            <w:r w:rsidR="00A94E85" w:rsidRPr="0002752B">
              <w:rPr>
                <w:rFonts w:eastAsia="標楷體" w:hAnsi="標楷體" w:hint="eastAsia"/>
              </w:rPr>
              <w:t>第</w:t>
            </w:r>
            <w:r w:rsidR="004D0937">
              <w:rPr>
                <w:rFonts w:eastAsia="標楷體" w:hAnsi="標楷體" w:hint="eastAsia"/>
              </w:rPr>
              <w:t>三項至第</w:t>
            </w:r>
            <w:r w:rsidR="00A94E85" w:rsidRPr="0002752B">
              <w:rPr>
                <w:rFonts w:eastAsia="標楷體" w:hAnsi="標楷體" w:hint="eastAsia"/>
              </w:rPr>
              <w:t>五項，</w:t>
            </w:r>
            <w:r w:rsidRPr="0002752B">
              <w:rPr>
                <w:rFonts w:eastAsia="標楷體" w:hAnsi="標楷體" w:hint="eastAsia"/>
              </w:rPr>
              <w:t>並</w:t>
            </w:r>
            <w:r w:rsidR="001035E4" w:rsidRPr="0002752B">
              <w:rPr>
                <w:rFonts w:eastAsia="標楷體" w:hAnsi="標楷體" w:hint="eastAsia"/>
              </w:rPr>
              <w:t>配合項次移列</w:t>
            </w:r>
            <w:r w:rsidR="00EF7084">
              <w:rPr>
                <w:rFonts w:eastAsia="標楷體" w:hAnsi="標楷體" w:hint="eastAsia"/>
              </w:rPr>
              <w:t>，</w:t>
            </w:r>
            <w:r w:rsidR="004D0937">
              <w:rPr>
                <w:rFonts w:eastAsia="標楷體" w:hAnsi="標楷體" w:hint="eastAsia"/>
              </w:rPr>
              <w:t>第三項</w:t>
            </w:r>
            <w:r w:rsidR="0081738A">
              <w:rPr>
                <w:rFonts w:eastAsia="標楷體" w:hAnsi="標楷體" w:hint="eastAsia"/>
              </w:rPr>
              <w:t>及第五項</w:t>
            </w:r>
            <w:r w:rsidR="001035E4" w:rsidRPr="0002752B">
              <w:rPr>
                <w:rFonts w:eastAsia="標楷體" w:hAnsi="標楷體" w:hint="eastAsia"/>
              </w:rPr>
              <w:t>酌作文字修正</w:t>
            </w:r>
            <w:r w:rsidR="00A94E85" w:rsidRPr="0002752B">
              <w:rPr>
                <w:rFonts w:eastAsia="標楷體" w:hAnsi="標楷體" w:hint="eastAsia"/>
              </w:rPr>
              <w:t>。</w:t>
            </w:r>
          </w:p>
          <w:p w:rsidR="0094153B" w:rsidRPr="001035E4" w:rsidRDefault="0094153B" w:rsidP="009E232C">
            <w:pPr>
              <w:tabs>
                <w:tab w:val="left" w:pos="-210"/>
                <w:tab w:val="left" w:pos="0"/>
              </w:tabs>
              <w:spacing w:line="400" w:lineRule="exact"/>
              <w:rPr>
                <w:rFonts w:eastAsia="標楷體" w:hAnsi="標楷體"/>
              </w:rPr>
            </w:pPr>
          </w:p>
        </w:tc>
      </w:tr>
    </w:tbl>
    <w:p w:rsidR="00304E9C" w:rsidRPr="0094153B" w:rsidRDefault="00304E9C"/>
    <w:sectPr w:rsidR="00304E9C" w:rsidRPr="0094153B" w:rsidSect="009E232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38" w:rsidRDefault="00F11938" w:rsidP="00812707">
      <w:r>
        <w:separator/>
      </w:r>
    </w:p>
  </w:endnote>
  <w:endnote w:type="continuationSeparator" w:id="0">
    <w:p w:rsidR="00F11938" w:rsidRDefault="00F11938" w:rsidP="0081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7魟...">
    <w:altName w:val="細明體_HKSCS"/>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38" w:rsidRDefault="00F11938" w:rsidP="00812707">
      <w:r>
        <w:separator/>
      </w:r>
    </w:p>
  </w:footnote>
  <w:footnote w:type="continuationSeparator" w:id="0">
    <w:p w:rsidR="00F11938" w:rsidRDefault="00F11938" w:rsidP="00812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BB2"/>
    <w:multiLevelType w:val="hybridMultilevel"/>
    <w:tmpl w:val="8DBC10E2"/>
    <w:lvl w:ilvl="0" w:tplc="D7789FEC">
      <w:start w:val="1"/>
      <w:numFmt w:val="taiwaneseCountingThousand"/>
      <w:lvlText w:val="（%1）"/>
      <w:lvlJc w:val="left"/>
      <w:pPr>
        <w:ind w:left="718" w:hanging="480"/>
      </w:pPr>
      <w:rPr>
        <w:rFonts w:hint="default"/>
      </w:rPr>
    </w:lvl>
    <w:lvl w:ilvl="1" w:tplc="D7789FEC">
      <w:start w:val="1"/>
      <w:numFmt w:val="taiwaneseCountingThousand"/>
      <w:lvlText w:val="（%2）"/>
      <w:lvlJc w:val="left"/>
      <w:pPr>
        <w:ind w:left="1198" w:hanging="480"/>
      </w:pPr>
      <w:rPr>
        <w:rFonts w:hint="default"/>
      </w:rPr>
    </w:lvl>
    <w:lvl w:ilvl="2" w:tplc="109C9E1A">
      <w:start w:val="1"/>
      <w:numFmt w:val="taiwaneseCountingThousand"/>
      <w:lvlText w:val="%3、"/>
      <w:lvlJc w:val="left"/>
      <w:pPr>
        <w:ind w:left="1678" w:hanging="480"/>
      </w:pPr>
      <w:rPr>
        <w:rFonts w:hint="default"/>
      </w:r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nsid w:val="10F667AD"/>
    <w:multiLevelType w:val="hybridMultilevel"/>
    <w:tmpl w:val="623E42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7744B8"/>
    <w:multiLevelType w:val="hybridMultilevel"/>
    <w:tmpl w:val="379CDCBC"/>
    <w:lvl w:ilvl="0" w:tplc="9F9A62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E74A24"/>
    <w:multiLevelType w:val="hybridMultilevel"/>
    <w:tmpl w:val="379CDCBC"/>
    <w:lvl w:ilvl="0" w:tplc="9F9A62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16200C"/>
    <w:multiLevelType w:val="hybridMultilevel"/>
    <w:tmpl w:val="C9C87ED6"/>
    <w:lvl w:ilvl="0" w:tplc="79F049BA">
      <w:start w:val="1"/>
      <w:numFmt w:val="taiwaneseCountingThousand"/>
      <w:lvlText w:val="%1、"/>
      <w:lvlJc w:val="left"/>
      <w:pPr>
        <w:ind w:left="480" w:hanging="480"/>
      </w:pPr>
      <w:rPr>
        <w:rFonts w:hint="default"/>
      </w:rPr>
    </w:lvl>
    <w:lvl w:ilvl="1" w:tplc="DDBE56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396731"/>
    <w:multiLevelType w:val="hybridMultilevel"/>
    <w:tmpl w:val="C9C87ED6"/>
    <w:lvl w:ilvl="0" w:tplc="79F049BA">
      <w:start w:val="1"/>
      <w:numFmt w:val="taiwaneseCountingThousand"/>
      <w:lvlText w:val="%1、"/>
      <w:lvlJc w:val="left"/>
      <w:pPr>
        <w:ind w:left="480" w:hanging="480"/>
      </w:pPr>
      <w:rPr>
        <w:rFonts w:hint="default"/>
      </w:rPr>
    </w:lvl>
    <w:lvl w:ilvl="1" w:tplc="DDBE56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683244"/>
    <w:multiLevelType w:val="hybridMultilevel"/>
    <w:tmpl w:val="8DBC10E2"/>
    <w:lvl w:ilvl="0" w:tplc="D7789FEC">
      <w:start w:val="1"/>
      <w:numFmt w:val="taiwaneseCountingThousand"/>
      <w:lvlText w:val="（%1）"/>
      <w:lvlJc w:val="left"/>
      <w:pPr>
        <w:ind w:left="718" w:hanging="480"/>
      </w:pPr>
      <w:rPr>
        <w:rFonts w:hint="default"/>
      </w:rPr>
    </w:lvl>
    <w:lvl w:ilvl="1" w:tplc="D7789FEC">
      <w:start w:val="1"/>
      <w:numFmt w:val="taiwaneseCountingThousand"/>
      <w:lvlText w:val="（%2）"/>
      <w:lvlJc w:val="left"/>
      <w:pPr>
        <w:ind w:left="1198" w:hanging="480"/>
      </w:pPr>
      <w:rPr>
        <w:rFonts w:hint="default"/>
      </w:rPr>
    </w:lvl>
    <w:lvl w:ilvl="2" w:tplc="109C9E1A">
      <w:start w:val="1"/>
      <w:numFmt w:val="taiwaneseCountingThousand"/>
      <w:lvlText w:val="%3、"/>
      <w:lvlJc w:val="left"/>
      <w:pPr>
        <w:ind w:left="1678" w:hanging="480"/>
      </w:pPr>
      <w:rPr>
        <w:rFonts w:hint="default"/>
      </w:r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0"/>
  <w:drawingGridHorizontalSpacing w:val="12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53B"/>
    <w:rsid w:val="0002752B"/>
    <w:rsid w:val="001035E4"/>
    <w:rsid w:val="00123A37"/>
    <w:rsid w:val="0014247C"/>
    <w:rsid w:val="00167EC3"/>
    <w:rsid w:val="001B3F6F"/>
    <w:rsid w:val="00241463"/>
    <w:rsid w:val="002457ED"/>
    <w:rsid w:val="002752B6"/>
    <w:rsid w:val="002B2DB8"/>
    <w:rsid w:val="00304E9C"/>
    <w:rsid w:val="00344D9D"/>
    <w:rsid w:val="003D0200"/>
    <w:rsid w:val="00404BA0"/>
    <w:rsid w:val="00452B8B"/>
    <w:rsid w:val="0049081C"/>
    <w:rsid w:val="004B1161"/>
    <w:rsid w:val="004D0937"/>
    <w:rsid w:val="005A5E52"/>
    <w:rsid w:val="005F3F8A"/>
    <w:rsid w:val="0060772A"/>
    <w:rsid w:val="00643026"/>
    <w:rsid w:val="00681F13"/>
    <w:rsid w:val="00694DCD"/>
    <w:rsid w:val="00777DBD"/>
    <w:rsid w:val="00782A87"/>
    <w:rsid w:val="007F7743"/>
    <w:rsid w:val="00812707"/>
    <w:rsid w:val="0081738A"/>
    <w:rsid w:val="00854370"/>
    <w:rsid w:val="008B0A57"/>
    <w:rsid w:val="00914E6F"/>
    <w:rsid w:val="0094153B"/>
    <w:rsid w:val="009647C8"/>
    <w:rsid w:val="00987506"/>
    <w:rsid w:val="009A1615"/>
    <w:rsid w:val="009B1544"/>
    <w:rsid w:val="009B7FC0"/>
    <w:rsid w:val="009C651A"/>
    <w:rsid w:val="009D0E56"/>
    <w:rsid w:val="009E03F1"/>
    <w:rsid w:val="009E232C"/>
    <w:rsid w:val="009F675A"/>
    <w:rsid w:val="00A0775C"/>
    <w:rsid w:val="00A42DAD"/>
    <w:rsid w:val="00A43DA8"/>
    <w:rsid w:val="00A8341B"/>
    <w:rsid w:val="00A933CA"/>
    <w:rsid w:val="00A94E85"/>
    <w:rsid w:val="00AC739E"/>
    <w:rsid w:val="00AE4B62"/>
    <w:rsid w:val="00B10AD6"/>
    <w:rsid w:val="00B737FD"/>
    <w:rsid w:val="00C1107E"/>
    <w:rsid w:val="00C33AEC"/>
    <w:rsid w:val="00C83D1B"/>
    <w:rsid w:val="00C96A33"/>
    <w:rsid w:val="00CB4CCB"/>
    <w:rsid w:val="00CC60B7"/>
    <w:rsid w:val="00D454AD"/>
    <w:rsid w:val="00D56DAC"/>
    <w:rsid w:val="00D8232C"/>
    <w:rsid w:val="00D86E69"/>
    <w:rsid w:val="00DF3579"/>
    <w:rsid w:val="00E51DBD"/>
    <w:rsid w:val="00E51F39"/>
    <w:rsid w:val="00E8776D"/>
    <w:rsid w:val="00EF7084"/>
    <w:rsid w:val="00F11938"/>
    <w:rsid w:val="00FA4732"/>
    <w:rsid w:val="00FA5E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3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12707"/>
    <w:pPr>
      <w:tabs>
        <w:tab w:val="center" w:pos="4153"/>
        <w:tab w:val="right" w:pos="8306"/>
      </w:tabs>
      <w:snapToGrid w:val="0"/>
    </w:pPr>
    <w:rPr>
      <w:sz w:val="20"/>
    </w:rPr>
  </w:style>
  <w:style w:type="character" w:customStyle="1" w:styleId="a5">
    <w:name w:val="頁首 字元"/>
    <w:basedOn w:val="a0"/>
    <w:link w:val="a4"/>
    <w:uiPriority w:val="99"/>
    <w:semiHidden/>
    <w:rsid w:val="00812707"/>
    <w:rPr>
      <w:rFonts w:ascii="Times New Roman" w:eastAsia="新細明體" w:hAnsi="Times New Roman" w:cs="Times New Roman"/>
      <w:sz w:val="20"/>
      <w:szCs w:val="20"/>
    </w:rPr>
  </w:style>
  <w:style w:type="paragraph" w:styleId="a6">
    <w:name w:val="footer"/>
    <w:basedOn w:val="a"/>
    <w:link w:val="a7"/>
    <w:uiPriority w:val="99"/>
    <w:semiHidden/>
    <w:unhideWhenUsed/>
    <w:rsid w:val="00812707"/>
    <w:pPr>
      <w:tabs>
        <w:tab w:val="center" w:pos="4153"/>
        <w:tab w:val="right" w:pos="8306"/>
      </w:tabs>
      <w:snapToGrid w:val="0"/>
    </w:pPr>
    <w:rPr>
      <w:sz w:val="20"/>
    </w:rPr>
  </w:style>
  <w:style w:type="character" w:customStyle="1" w:styleId="a7">
    <w:name w:val="頁尾 字元"/>
    <w:basedOn w:val="a0"/>
    <w:link w:val="a6"/>
    <w:uiPriority w:val="99"/>
    <w:semiHidden/>
    <w:rsid w:val="00812707"/>
    <w:rPr>
      <w:rFonts w:ascii="Times New Roman" w:eastAsia="新細明體" w:hAnsi="Times New Roman" w:cs="Times New Roman"/>
      <w:sz w:val="20"/>
      <w:szCs w:val="20"/>
    </w:rPr>
  </w:style>
  <w:style w:type="paragraph" w:customStyle="1" w:styleId="Default">
    <w:name w:val="Default"/>
    <w:rsid w:val="001035E4"/>
    <w:pPr>
      <w:widowControl w:val="0"/>
      <w:autoSpaceDE w:val="0"/>
      <w:autoSpaceDN w:val="0"/>
      <w:adjustRightInd w:val="0"/>
    </w:pPr>
    <w:rPr>
      <w:rFonts w:ascii="標楷體7魟..." w:eastAsia="標楷體7魟..." w:cs="標楷體7魟..."/>
      <w:color w:val="000000"/>
      <w:kern w:val="0"/>
      <w:szCs w:val="24"/>
    </w:rPr>
  </w:style>
  <w:style w:type="paragraph" w:styleId="a8">
    <w:name w:val="List Paragraph"/>
    <w:basedOn w:val="a"/>
    <w:uiPriority w:val="34"/>
    <w:qFormat/>
    <w:rsid w:val="0002752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2016-01-06T06:40:00Z</cp:lastPrinted>
  <dcterms:created xsi:type="dcterms:W3CDTF">2016-02-03T02:14:00Z</dcterms:created>
  <dcterms:modified xsi:type="dcterms:W3CDTF">2016-02-03T02:31:00Z</dcterms:modified>
</cp:coreProperties>
</file>