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8D" w:rsidRPr="00056AA0" w:rsidRDefault="00A70C12" w:rsidP="007124C4">
      <w:pPr>
        <w:spacing w:line="400" w:lineRule="exact"/>
        <w:rPr>
          <w:rFonts w:ascii="標楷體" w:eastAsia="標楷體" w:hAnsi="標楷體"/>
          <w:color w:val="000000" w:themeColor="text1"/>
          <w:sz w:val="32"/>
          <w:szCs w:val="32"/>
        </w:rPr>
      </w:pPr>
      <w:r w:rsidRPr="00056AA0">
        <w:rPr>
          <w:rFonts w:ascii="標楷體" w:eastAsia="標楷體" w:hAnsi="標楷體" w:hint="eastAsia"/>
          <w:color w:val="000000" w:themeColor="text1"/>
          <w:sz w:val="32"/>
          <w:szCs w:val="32"/>
        </w:rPr>
        <w:t>證券商辦理有價證券買賣融資融券業務淨值相關額度控管作業要點</w:t>
      </w:r>
      <w:r w:rsidR="00EE7986" w:rsidRPr="00056AA0">
        <w:rPr>
          <w:rFonts w:ascii="標楷體" w:eastAsia="標楷體" w:hAnsi="標楷體" w:hint="eastAsia"/>
          <w:color w:val="000000" w:themeColor="text1"/>
          <w:sz w:val="32"/>
          <w:szCs w:val="32"/>
        </w:rPr>
        <w:t>第二條修正條文對照表</w:t>
      </w:r>
    </w:p>
    <w:tbl>
      <w:tblPr>
        <w:tblStyle w:val="a7"/>
        <w:tblW w:w="0" w:type="auto"/>
        <w:tblLook w:val="04A0"/>
      </w:tblPr>
      <w:tblGrid>
        <w:gridCol w:w="3085"/>
        <w:gridCol w:w="3119"/>
        <w:gridCol w:w="2158"/>
      </w:tblGrid>
      <w:tr w:rsidR="00A70C12" w:rsidRPr="00056AA0" w:rsidTr="00A70C12">
        <w:tc>
          <w:tcPr>
            <w:tcW w:w="3085" w:type="dxa"/>
          </w:tcPr>
          <w:p w:rsidR="00A70C12" w:rsidRPr="00056AA0" w:rsidRDefault="00A70C12" w:rsidP="006758CD">
            <w:pPr>
              <w:adjustRightInd w:val="0"/>
              <w:snapToGrid w:val="0"/>
              <w:spacing w:line="300" w:lineRule="exact"/>
              <w:jc w:val="center"/>
              <w:rPr>
                <w:rFonts w:ascii="標楷體" w:eastAsia="標楷體" w:hAnsi="標楷體"/>
                <w:bCs/>
                <w:color w:val="000000" w:themeColor="text1"/>
                <w:szCs w:val="24"/>
              </w:rPr>
            </w:pPr>
            <w:r w:rsidRPr="00056AA0">
              <w:rPr>
                <w:rFonts w:ascii="標楷體" w:eastAsia="標楷體" w:hAnsi="標楷體"/>
                <w:color w:val="000000" w:themeColor="text1"/>
                <w:szCs w:val="24"/>
              </w:rPr>
              <w:t>修正條文</w:t>
            </w:r>
          </w:p>
        </w:tc>
        <w:tc>
          <w:tcPr>
            <w:tcW w:w="3119" w:type="dxa"/>
          </w:tcPr>
          <w:p w:rsidR="00A70C12" w:rsidRPr="00056AA0" w:rsidRDefault="00A70C12" w:rsidP="006758CD">
            <w:pPr>
              <w:adjustRightInd w:val="0"/>
              <w:snapToGrid w:val="0"/>
              <w:spacing w:line="300" w:lineRule="exact"/>
              <w:jc w:val="center"/>
              <w:rPr>
                <w:rFonts w:ascii="標楷體" w:eastAsia="標楷體" w:hAnsi="標楷體"/>
                <w:bCs/>
                <w:color w:val="000000" w:themeColor="text1"/>
                <w:szCs w:val="24"/>
              </w:rPr>
            </w:pPr>
            <w:r w:rsidRPr="00056AA0">
              <w:rPr>
                <w:rFonts w:ascii="標楷體" w:eastAsia="標楷體" w:hAnsi="標楷體"/>
                <w:color w:val="000000" w:themeColor="text1"/>
                <w:szCs w:val="24"/>
              </w:rPr>
              <w:t>現行條文</w:t>
            </w:r>
          </w:p>
        </w:tc>
        <w:tc>
          <w:tcPr>
            <w:tcW w:w="2158" w:type="dxa"/>
          </w:tcPr>
          <w:p w:rsidR="00A70C12" w:rsidRPr="00056AA0" w:rsidRDefault="00A70C12" w:rsidP="006758CD">
            <w:pPr>
              <w:adjustRightInd w:val="0"/>
              <w:snapToGrid w:val="0"/>
              <w:spacing w:line="300" w:lineRule="exact"/>
              <w:jc w:val="center"/>
              <w:rPr>
                <w:rFonts w:ascii="標楷體" w:eastAsia="標楷體" w:hAnsi="標楷體"/>
                <w:bCs/>
                <w:color w:val="000000" w:themeColor="text1"/>
                <w:szCs w:val="24"/>
              </w:rPr>
            </w:pPr>
            <w:r w:rsidRPr="00056AA0">
              <w:rPr>
                <w:rFonts w:ascii="標楷體" w:eastAsia="標楷體" w:hAnsi="標楷體"/>
                <w:color w:val="000000" w:themeColor="text1"/>
                <w:szCs w:val="24"/>
              </w:rPr>
              <w:t>說明</w:t>
            </w:r>
          </w:p>
        </w:tc>
      </w:tr>
      <w:tr w:rsidR="00A70C12" w:rsidRPr="00056AA0" w:rsidTr="00A70C12">
        <w:tc>
          <w:tcPr>
            <w:tcW w:w="3085" w:type="dxa"/>
          </w:tcPr>
          <w:p w:rsidR="00B42140" w:rsidRPr="00056AA0" w:rsidRDefault="00B42140"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t>二、證券商辦理有價證券買賣融資融券，對客戶融資</w:t>
            </w:r>
            <w:r w:rsidR="004A755E" w:rsidRPr="00056AA0">
              <w:rPr>
                <w:rFonts w:eastAsia="標楷體" w:hAnsi="標楷體" w:hint="eastAsia"/>
                <w:color w:val="000000" w:themeColor="text1"/>
                <w:u w:val="single"/>
              </w:rPr>
              <w:t>總金額</w:t>
            </w:r>
            <w:r w:rsidRPr="00056AA0">
              <w:rPr>
                <w:rFonts w:ascii="標楷體" w:eastAsia="標楷體" w:hAnsi="標楷體" w:hint="eastAsia"/>
                <w:color w:val="000000" w:themeColor="text1"/>
                <w:szCs w:val="24"/>
              </w:rPr>
              <w:t>或融券</w:t>
            </w:r>
            <w:r w:rsidR="004A755E" w:rsidRPr="00056AA0">
              <w:rPr>
                <w:rFonts w:eastAsia="標楷體" w:hAnsi="標楷體" w:hint="eastAsia"/>
                <w:color w:val="000000" w:themeColor="text1"/>
                <w:u w:val="single"/>
              </w:rPr>
              <w:t>加計</w:t>
            </w:r>
            <w:r w:rsidR="009C38DC" w:rsidRPr="00056AA0">
              <w:rPr>
                <w:rFonts w:eastAsia="標楷體" w:hAnsi="標楷體" w:hint="eastAsia"/>
                <w:color w:val="000000" w:themeColor="text1"/>
                <w:szCs w:val="24"/>
                <w:u w:val="single"/>
              </w:rPr>
              <w:t>出借予辦理有價證券借貸業務之證券商或證券金融事業、於證券交易所借券系統出借證券</w:t>
            </w:r>
            <w:r w:rsidR="004D7BE4" w:rsidRPr="00056AA0">
              <w:rPr>
                <w:rFonts w:eastAsia="標楷體" w:hAnsi="標楷體" w:hint="eastAsia"/>
                <w:color w:val="000000" w:themeColor="text1"/>
                <w:szCs w:val="24"/>
                <w:u w:val="single"/>
              </w:rPr>
              <w:t>及</w:t>
            </w:r>
            <w:r w:rsidR="009C38DC" w:rsidRPr="00056AA0">
              <w:rPr>
                <w:rFonts w:eastAsia="標楷體" w:hAnsi="標楷體" w:hint="eastAsia"/>
                <w:color w:val="000000" w:themeColor="text1"/>
                <w:szCs w:val="24"/>
                <w:u w:val="single"/>
              </w:rPr>
              <w:t>參與標借或議借</w:t>
            </w:r>
            <w:r w:rsidR="004A755E" w:rsidRPr="00056AA0">
              <w:rPr>
                <w:rFonts w:eastAsia="標楷體" w:hAnsi="標楷體" w:hint="eastAsia"/>
                <w:color w:val="000000" w:themeColor="text1"/>
                <w:u w:val="single"/>
              </w:rPr>
              <w:t>之出借有價證券</w:t>
            </w:r>
            <w:r w:rsidR="00D27511" w:rsidRPr="00056AA0">
              <w:rPr>
                <w:rFonts w:eastAsia="標楷體" w:hAnsi="標楷體" w:hint="eastAsia"/>
                <w:color w:val="000000" w:themeColor="text1"/>
                <w:u w:val="single"/>
              </w:rPr>
              <w:t>（以下簡稱融資融券業務出借證券）</w:t>
            </w:r>
            <w:r w:rsidRPr="00056AA0">
              <w:rPr>
                <w:rFonts w:ascii="標楷體" w:eastAsia="標楷體" w:hAnsi="標楷體" w:hint="eastAsia"/>
                <w:color w:val="000000" w:themeColor="text1"/>
                <w:szCs w:val="24"/>
              </w:rPr>
              <w:t>之總金額，分別不得超過其淨值百分之二百五十。</w:t>
            </w:r>
          </w:p>
          <w:p w:rsidR="00B42140" w:rsidRPr="00056AA0" w:rsidRDefault="00B42140"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t>證券商自有資本適足比率連續三個月達百分之二百五十以上者，其辦理有價證券買賣融資融券，對客戶融資</w:t>
            </w:r>
            <w:r w:rsidR="009C1199" w:rsidRPr="00056AA0">
              <w:rPr>
                <w:rFonts w:eastAsia="標楷體" w:hAnsi="標楷體" w:hint="eastAsia"/>
                <w:color w:val="000000" w:themeColor="text1"/>
                <w:u w:val="single"/>
              </w:rPr>
              <w:t>總金額</w:t>
            </w:r>
            <w:r w:rsidRPr="00056AA0">
              <w:rPr>
                <w:rFonts w:ascii="標楷體" w:eastAsia="標楷體" w:hAnsi="標楷體" w:hint="eastAsia"/>
                <w:color w:val="000000" w:themeColor="text1"/>
                <w:szCs w:val="24"/>
              </w:rPr>
              <w:t>或融券</w:t>
            </w:r>
            <w:r w:rsidR="00815B59" w:rsidRPr="00056AA0">
              <w:rPr>
                <w:rFonts w:eastAsia="標楷體" w:hAnsi="標楷體" w:hint="eastAsia"/>
                <w:color w:val="000000" w:themeColor="text1"/>
                <w:u w:val="single"/>
              </w:rPr>
              <w:t>加計</w:t>
            </w:r>
            <w:r w:rsidR="004E01B2" w:rsidRPr="00056AA0">
              <w:rPr>
                <w:rFonts w:eastAsia="標楷體" w:hAnsi="標楷體" w:hint="eastAsia"/>
                <w:color w:val="000000" w:themeColor="text1"/>
                <w:u w:val="single"/>
              </w:rPr>
              <w:t>融資融券業務出借證券</w:t>
            </w:r>
            <w:r w:rsidRPr="00056AA0">
              <w:rPr>
                <w:rFonts w:ascii="標楷體" w:eastAsia="標楷體" w:hAnsi="標楷體" w:hint="eastAsia"/>
                <w:color w:val="000000" w:themeColor="text1"/>
                <w:szCs w:val="24"/>
              </w:rPr>
              <w:t>之總金額，分別不得超過其淨值百分之四百。</w:t>
            </w:r>
          </w:p>
          <w:p w:rsidR="00B42140" w:rsidRPr="00056AA0" w:rsidRDefault="00B42140"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t>證券商依前項規定辦理後，自有資本適足比率連續二個月低於百分之二百五十且對客戶融資</w:t>
            </w:r>
            <w:r w:rsidR="009C1199" w:rsidRPr="00056AA0">
              <w:rPr>
                <w:rFonts w:eastAsia="標楷體" w:hAnsi="標楷體" w:hint="eastAsia"/>
                <w:color w:val="000000" w:themeColor="text1"/>
                <w:u w:val="single"/>
              </w:rPr>
              <w:t>總金額</w:t>
            </w:r>
            <w:r w:rsidRPr="00056AA0">
              <w:rPr>
                <w:rFonts w:ascii="標楷體" w:eastAsia="標楷體" w:hAnsi="標楷體" w:hint="eastAsia"/>
                <w:color w:val="000000" w:themeColor="text1"/>
                <w:szCs w:val="24"/>
              </w:rPr>
              <w:t>或融券</w:t>
            </w:r>
            <w:r w:rsidR="00487981" w:rsidRPr="00056AA0">
              <w:rPr>
                <w:rFonts w:eastAsia="標楷體" w:hAnsi="標楷體" w:hint="eastAsia"/>
                <w:color w:val="000000" w:themeColor="text1"/>
                <w:u w:val="single"/>
              </w:rPr>
              <w:t>加計</w:t>
            </w:r>
            <w:r w:rsidR="004E01B2" w:rsidRPr="00056AA0">
              <w:rPr>
                <w:rFonts w:eastAsia="標楷體" w:hAnsi="標楷體" w:hint="eastAsia"/>
                <w:color w:val="000000" w:themeColor="text1"/>
                <w:u w:val="single"/>
              </w:rPr>
              <w:t>融資融券業務出借證券</w:t>
            </w:r>
            <w:r w:rsidRPr="00056AA0">
              <w:rPr>
                <w:rFonts w:ascii="標楷體" w:eastAsia="標楷體" w:hAnsi="標楷體" w:hint="eastAsia"/>
                <w:color w:val="000000" w:themeColor="text1"/>
                <w:szCs w:val="24"/>
              </w:rPr>
              <w:t>之總金額超過其淨值百分之二百五十者，暫停對客戶融資</w:t>
            </w:r>
            <w:r w:rsidR="00AE25DA" w:rsidRPr="00AE25DA">
              <w:rPr>
                <w:rFonts w:ascii="標楷體" w:eastAsia="標楷體" w:hAnsi="標楷體" w:hint="eastAsia"/>
                <w:color w:val="000000" w:themeColor="text1"/>
                <w:szCs w:val="24"/>
                <w:u w:val="single"/>
              </w:rPr>
              <w:t>、</w:t>
            </w:r>
            <w:r w:rsidRPr="00056AA0">
              <w:rPr>
                <w:rFonts w:ascii="標楷體" w:eastAsia="標楷體" w:hAnsi="標楷體" w:hint="eastAsia"/>
                <w:color w:val="000000" w:themeColor="text1"/>
                <w:szCs w:val="24"/>
              </w:rPr>
              <w:t>融券</w:t>
            </w:r>
            <w:r w:rsidR="00A85FE5" w:rsidRPr="00056AA0">
              <w:rPr>
                <w:rFonts w:ascii="標楷體" w:eastAsia="標楷體" w:hAnsi="標楷體" w:hint="eastAsia"/>
                <w:color w:val="000000" w:themeColor="text1"/>
                <w:szCs w:val="24"/>
                <w:u w:val="single"/>
              </w:rPr>
              <w:t>或</w:t>
            </w:r>
            <w:r w:rsidR="00AC41FE" w:rsidRPr="00056AA0">
              <w:rPr>
                <w:rFonts w:eastAsia="標楷體" w:hAnsi="標楷體" w:hint="eastAsia"/>
                <w:color w:val="000000" w:themeColor="text1"/>
                <w:u w:val="single"/>
              </w:rPr>
              <w:t>出借</w:t>
            </w:r>
            <w:r w:rsidR="0067733E">
              <w:rPr>
                <w:rFonts w:eastAsia="標楷體" w:hAnsi="標楷體" w:hint="eastAsia"/>
                <w:color w:val="000000" w:themeColor="text1"/>
                <w:u w:val="single"/>
              </w:rPr>
              <w:t>有價證券</w:t>
            </w:r>
            <w:r w:rsidRPr="00056AA0">
              <w:rPr>
                <w:rFonts w:ascii="標楷體" w:eastAsia="標楷體" w:hAnsi="標楷體" w:hint="eastAsia"/>
                <w:color w:val="000000" w:themeColor="text1"/>
                <w:szCs w:val="24"/>
              </w:rPr>
              <w:t>，俟其總金額低於淨值百分之二百五十或自有資本適足比率連續三個月達百分之二百五十以上後，分別依前二項規定</w:t>
            </w:r>
            <w:r w:rsidRPr="00056AA0">
              <w:rPr>
                <w:rFonts w:ascii="標楷體" w:eastAsia="標楷體" w:hAnsi="標楷體" w:hint="eastAsia"/>
                <w:color w:val="000000" w:themeColor="text1"/>
                <w:szCs w:val="24"/>
              </w:rPr>
              <w:lastRenderedPageBreak/>
              <w:t>辦理。</w:t>
            </w:r>
          </w:p>
          <w:p w:rsidR="00A70C12" w:rsidRPr="00056AA0" w:rsidRDefault="00B42140"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t>證券商辦理有價證券買賣融資融券，對客戶融資總金額，加計辦理證券業務借貸款項之融通總金額，不得超過其淨值百分之四百；對客戶融券</w:t>
            </w:r>
            <w:r w:rsidR="004E01B2" w:rsidRPr="00056AA0">
              <w:rPr>
                <w:rFonts w:ascii="標楷體" w:eastAsia="標楷體" w:hAnsi="標楷體" w:hint="eastAsia"/>
                <w:color w:val="000000" w:themeColor="text1"/>
                <w:szCs w:val="24"/>
                <w:u w:val="single"/>
              </w:rPr>
              <w:t>及</w:t>
            </w:r>
            <w:r w:rsidR="004E01B2" w:rsidRPr="00056AA0">
              <w:rPr>
                <w:rFonts w:eastAsia="標楷體" w:hAnsi="標楷體" w:hint="eastAsia"/>
                <w:color w:val="000000" w:themeColor="text1"/>
                <w:u w:val="single"/>
              </w:rPr>
              <w:t>融資融券業務出借證券</w:t>
            </w:r>
            <w:r w:rsidR="004E01B2" w:rsidRPr="00056AA0">
              <w:rPr>
                <w:rFonts w:ascii="標楷體" w:eastAsia="標楷體" w:hAnsi="標楷體" w:hint="eastAsia"/>
                <w:color w:val="000000" w:themeColor="text1"/>
                <w:szCs w:val="24"/>
                <w:u w:val="single"/>
              </w:rPr>
              <w:t>之</w:t>
            </w:r>
            <w:r w:rsidRPr="00056AA0">
              <w:rPr>
                <w:rFonts w:ascii="標楷體" w:eastAsia="標楷體" w:hAnsi="標楷體" w:hint="eastAsia"/>
                <w:color w:val="000000" w:themeColor="text1"/>
                <w:szCs w:val="24"/>
              </w:rPr>
              <w:t>總金額，加計辦理有價證券借貸業務之出借有價證券總金額，不得超過其淨值百分之四百。</w:t>
            </w:r>
          </w:p>
        </w:tc>
        <w:tc>
          <w:tcPr>
            <w:tcW w:w="3119" w:type="dxa"/>
          </w:tcPr>
          <w:p w:rsidR="00A70C12" w:rsidRPr="00056AA0" w:rsidRDefault="00A70C12"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lastRenderedPageBreak/>
              <w:t>二、證券商辦理有價證券買賣融資融券，對客戶融資或融券之總金額，分別不得超過其淨值百分之二百五十。</w:t>
            </w:r>
          </w:p>
          <w:p w:rsidR="006758CD" w:rsidRPr="00056AA0" w:rsidRDefault="006758CD"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p>
          <w:p w:rsidR="006758CD" w:rsidRPr="00056AA0" w:rsidRDefault="006758CD"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p>
          <w:p w:rsidR="006758CD" w:rsidRPr="00056AA0" w:rsidRDefault="006758CD"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p>
          <w:p w:rsidR="006758CD" w:rsidRPr="00056AA0" w:rsidRDefault="006758CD"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p>
          <w:p w:rsidR="006758CD" w:rsidRPr="00056AA0" w:rsidRDefault="006758CD"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p>
          <w:p w:rsidR="006758CD" w:rsidRPr="00056AA0" w:rsidRDefault="006758CD"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p>
          <w:p w:rsidR="00375660" w:rsidRPr="00056AA0" w:rsidRDefault="00375660"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45" w:left="317" w:hangingChars="177" w:hanging="425"/>
              <w:jc w:val="both"/>
              <w:rPr>
                <w:rFonts w:ascii="標楷體" w:eastAsia="標楷體" w:hAnsi="標楷體"/>
                <w:color w:val="000000" w:themeColor="text1"/>
                <w:szCs w:val="24"/>
              </w:rPr>
            </w:pPr>
          </w:p>
          <w:p w:rsidR="00A70C12" w:rsidRPr="00056AA0" w:rsidRDefault="00A70C12"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t>證券商自有資本適足比率連續三個月達百分之二百五十以上者，其辦理有價證券買賣融資融券，對客戶融資或融券之總金額，分別不得超過其淨值百分之四百。</w:t>
            </w:r>
          </w:p>
          <w:p w:rsidR="006758CD" w:rsidRPr="00056AA0" w:rsidRDefault="006758CD"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p>
          <w:p w:rsidR="006758CD" w:rsidRPr="00056AA0" w:rsidRDefault="006758CD"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p>
          <w:p w:rsidR="00A70C12" w:rsidRPr="00056AA0" w:rsidRDefault="00A70C12"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t>證券商依前項規定辦理後，自有資本適足比率連續二個月低於百分之二百五十且對客戶融資或融券之總金額超過其淨值百分之二百五十者，暫停對客戶融資或融券，俟其總金額低於淨值百分之二百五十或自有資本適足比率連續三個月達百分之二百五十以上後，分別依前二項規定辦理。</w:t>
            </w:r>
          </w:p>
          <w:p w:rsidR="006758CD" w:rsidRDefault="001F55D7"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t xml:space="preserve"> </w:t>
            </w:r>
          </w:p>
          <w:p w:rsidR="000C1965" w:rsidRPr="00056AA0" w:rsidRDefault="000C1965"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p>
          <w:p w:rsidR="00A70C12" w:rsidRPr="00056AA0" w:rsidRDefault="00A70C12" w:rsidP="0067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32" w:left="317"/>
              <w:jc w:val="both"/>
              <w:rPr>
                <w:rFonts w:ascii="標楷體" w:eastAsia="標楷體" w:hAnsi="標楷體"/>
                <w:color w:val="000000" w:themeColor="text1"/>
                <w:szCs w:val="24"/>
              </w:rPr>
            </w:pPr>
            <w:r w:rsidRPr="00056AA0">
              <w:rPr>
                <w:rFonts w:ascii="標楷體" w:eastAsia="標楷體" w:hAnsi="標楷體" w:hint="eastAsia"/>
                <w:color w:val="000000" w:themeColor="text1"/>
                <w:szCs w:val="24"/>
              </w:rPr>
              <w:t>證券商辦理有價證券買賣融資融券，對客戶融資總金額，加計辦理證券業務借貸款項之融通總金額，不得超過其淨值百分之四百；對客戶融券總金額，加計辦理有價證券借貸業務之出借有價證券總金額，不得超過其淨值百分之四百。</w:t>
            </w:r>
          </w:p>
          <w:p w:rsidR="00A70C12" w:rsidRPr="00056AA0" w:rsidRDefault="00A70C12" w:rsidP="006758CD">
            <w:pPr>
              <w:jc w:val="both"/>
              <w:rPr>
                <w:rFonts w:ascii="標楷體" w:eastAsia="標楷體" w:hAnsi="標楷體"/>
                <w:color w:val="000000" w:themeColor="text1"/>
                <w:szCs w:val="24"/>
              </w:rPr>
            </w:pPr>
          </w:p>
        </w:tc>
        <w:tc>
          <w:tcPr>
            <w:tcW w:w="2158" w:type="dxa"/>
          </w:tcPr>
          <w:p w:rsidR="00A70C12" w:rsidRPr="00056AA0" w:rsidRDefault="004B1D4A" w:rsidP="00F81109">
            <w:pPr>
              <w:jc w:val="both"/>
              <w:rPr>
                <w:rFonts w:ascii="標楷體" w:eastAsia="標楷體" w:hAnsi="標楷體"/>
                <w:color w:val="000000" w:themeColor="text1"/>
                <w:szCs w:val="24"/>
              </w:rPr>
            </w:pPr>
            <w:r w:rsidRPr="00056AA0">
              <w:rPr>
                <w:rFonts w:eastAsia="標楷體" w:hAnsi="標楷體" w:hint="eastAsia"/>
                <w:color w:val="000000" w:themeColor="text1"/>
              </w:rPr>
              <w:lastRenderedPageBreak/>
              <w:t>配合</w:t>
            </w:r>
            <w:r w:rsidRPr="00056AA0">
              <w:rPr>
                <w:rFonts w:ascii="標楷體" w:eastAsia="標楷體" w:hAnsi="標楷體" w:hint="eastAsia"/>
                <w:color w:val="000000" w:themeColor="text1"/>
                <w:szCs w:val="24"/>
              </w:rPr>
              <w:t>證券商辦理有價證券買賣融資融券管理辦法</w:t>
            </w:r>
            <w:r w:rsidRPr="00056AA0">
              <w:rPr>
                <w:rFonts w:eastAsia="標楷體" w:hAnsi="標楷體" w:hint="eastAsia"/>
                <w:color w:val="000000" w:themeColor="text1"/>
              </w:rPr>
              <w:t>第</w:t>
            </w:r>
            <w:r w:rsidR="004E01B2" w:rsidRPr="00056AA0">
              <w:rPr>
                <w:rFonts w:eastAsia="標楷體" w:hAnsi="標楷體" w:hint="eastAsia"/>
                <w:color w:val="000000" w:themeColor="text1"/>
              </w:rPr>
              <w:t>十四</w:t>
            </w:r>
            <w:r w:rsidRPr="00056AA0">
              <w:rPr>
                <w:rFonts w:eastAsia="標楷體" w:hAnsi="標楷體" w:hint="eastAsia"/>
                <w:color w:val="000000" w:themeColor="text1"/>
              </w:rPr>
              <w:t>條</w:t>
            </w:r>
            <w:r w:rsidR="004E01B2" w:rsidRPr="00056AA0">
              <w:rPr>
                <w:rFonts w:eastAsia="標楷體" w:hAnsi="標楷體" w:hint="eastAsia"/>
                <w:color w:val="000000" w:themeColor="text1"/>
              </w:rPr>
              <w:t>之</w:t>
            </w:r>
            <w:r w:rsidR="00955076" w:rsidRPr="00056AA0">
              <w:rPr>
                <w:rFonts w:eastAsia="標楷體" w:hAnsi="標楷體" w:hint="eastAsia"/>
                <w:color w:val="000000" w:themeColor="text1"/>
              </w:rPr>
              <w:t>修正，</w:t>
            </w:r>
            <w:r w:rsidR="00F81109" w:rsidRPr="00056AA0">
              <w:rPr>
                <w:rFonts w:eastAsia="標楷體" w:hAnsi="標楷體" w:hint="eastAsia"/>
                <w:color w:val="000000" w:themeColor="text1"/>
              </w:rPr>
              <w:t>開放辦理融資融券業務之證券商，對所取得之證券，得出借予辦理有價證券借貸業務之證券商或證券金融事業，並得於證券交易所借券系統出借及參與證券金融事業之標借或議借，因券源</w:t>
            </w:r>
            <w:r w:rsidR="004E01B2" w:rsidRPr="00056AA0">
              <w:rPr>
                <w:rFonts w:eastAsia="標楷體" w:hAnsi="標楷體" w:hint="eastAsia"/>
                <w:color w:val="000000" w:themeColor="text1"/>
              </w:rPr>
              <w:t>運用範圍</w:t>
            </w:r>
            <w:r w:rsidR="00F81109" w:rsidRPr="00056AA0">
              <w:rPr>
                <w:rFonts w:eastAsia="標楷體" w:hAnsi="標楷體" w:hint="eastAsia"/>
                <w:color w:val="000000" w:themeColor="text1"/>
              </w:rPr>
              <w:t>增加，規範證券商辦理融資融券業務，融券加計上開出借之總金額，不得超過淨值一定比例</w:t>
            </w:r>
            <w:r w:rsidR="00B83038" w:rsidRPr="00056AA0">
              <w:rPr>
                <w:rFonts w:eastAsia="標楷體" w:hAnsi="標楷體" w:hint="eastAsia"/>
                <w:color w:val="000000" w:themeColor="text1"/>
              </w:rPr>
              <w:t>，爰修正</w:t>
            </w:r>
            <w:r w:rsidR="004E01B2" w:rsidRPr="00056AA0">
              <w:rPr>
                <w:rFonts w:eastAsia="標楷體" w:hAnsi="標楷體" w:hint="eastAsia"/>
                <w:color w:val="000000" w:themeColor="text1"/>
              </w:rPr>
              <w:t>本</w:t>
            </w:r>
            <w:r w:rsidR="00B83038" w:rsidRPr="00056AA0">
              <w:rPr>
                <w:rFonts w:eastAsia="標楷體" w:hAnsi="標楷體" w:hint="eastAsia"/>
                <w:color w:val="000000" w:themeColor="text1"/>
              </w:rPr>
              <w:t>條。</w:t>
            </w:r>
          </w:p>
        </w:tc>
      </w:tr>
    </w:tbl>
    <w:p w:rsidR="00A70C12" w:rsidRPr="00056AA0" w:rsidRDefault="00A70C12">
      <w:pPr>
        <w:rPr>
          <w:rFonts w:ascii="標楷體" w:eastAsia="標楷體" w:hAnsi="標楷體"/>
          <w:color w:val="000000" w:themeColor="text1"/>
          <w:szCs w:val="24"/>
        </w:rPr>
      </w:pPr>
    </w:p>
    <w:sectPr w:rsidR="00A70C12" w:rsidRPr="00056AA0" w:rsidSect="00F9668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AF" w:rsidRDefault="007D46AF" w:rsidP="00A70C12">
      <w:r>
        <w:separator/>
      </w:r>
    </w:p>
  </w:endnote>
  <w:endnote w:type="continuationSeparator" w:id="0">
    <w:p w:rsidR="007D46AF" w:rsidRDefault="007D46AF" w:rsidP="00A70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AF" w:rsidRDefault="007D46AF" w:rsidP="00A70C12">
      <w:r>
        <w:separator/>
      </w:r>
    </w:p>
  </w:footnote>
  <w:footnote w:type="continuationSeparator" w:id="0">
    <w:p w:rsidR="007D46AF" w:rsidRDefault="007D46AF" w:rsidP="00A70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0C12"/>
    <w:rsid w:val="00056AA0"/>
    <w:rsid w:val="00063FDB"/>
    <w:rsid w:val="000C1965"/>
    <w:rsid w:val="000D1BAC"/>
    <w:rsid w:val="000D6DAC"/>
    <w:rsid w:val="00103D16"/>
    <w:rsid w:val="00116D83"/>
    <w:rsid w:val="001A24D6"/>
    <w:rsid w:val="001C2D0B"/>
    <w:rsid w:val="001F55D7"/>
    <w:rsid w:val="002140B9"/>
    <w:rsid w:val="00225560"/>
    <w:rsid w:val="0029103F"/>
    <w:rsid w:val="002B62DF"/>
    <w:rsid w:val="00317AFD"/>
    <w:rsid w:val="00361091"/>
    <w:rsid w:val="00375660"/>
    <w:rsid w:val="003975BF"/>
    <w:rsid w:val="003E7BBC"/>
    <w:rsid w:val="00462D72"/>
    <w:rsid w:val="004656DB"/>
    <w:rsid w:val="00487981"/>
    <w:rsid w:val="004A755E"/>
    <w:rsid w:val="004B1D4A"/>
    <w:rsid w:val="004B2689"/>
    <w:rsid w:val="004D61CB"/>
    <w:rsid w:val="004D7BE4"/>
    <w:rsid w:val="004E01B2"/>
    <w:rsid w:val="0050227C"/>
    <w:rsid w:val="0051291B"/>
    <w:rsid w:val="0059088A"/>
    <w:rsid w:val="005B3540"/>
    <w:rsid w:val="005F04E8"/>
    <w:rsid w:val="005F23C7"/>
    <w:rsid w:val="006321A5"/>
    <w:rsid w:val="00632420"/>
    <w:rsid w:val="0064371A"/>
    <w:rsid w:val="00650916"/>
    <w:rsid w:val="0066416E"/>
    <w:rsid w:val="00671DE1"/>
    <w:rsid w:val="006758CD"/>
    <w:rsid w:val="0067733E"/>
    <w:rsid w:val="00685DF2"/>
    <w:rsid w:val="006C14DD"/>
    <w:rsid w:val="006D174C"/>
    <w:rsid w:val="006F3671"/>
    <w:rsid w:val="00705412"/>
    <w:rsid w:val="007124C4"/>
    <w:rsid w:val="00723A80"/>
    <w:rsid w:val="007A3401"/>
    <w:rsid w:val="007D46AF"/>
    <w:rsid w:val="007E2E50"/>
    <w:rsid w:val="007E5D97"/>
    <w:rsid w:val="00815B59"/>
    <w:rsid w:val="00836B75"/>
    <w:rsid w:val="00955076"/>
    <w:rsid w:val="00965F4A"/>
    <w:rsid w:val="009C1199"/>
    <w:rsid w:val="009C38DC"/>
    <w:rsid w:val="00A70C12"/>
    <w:rsid w:val="00A85FE5"/>
    <w:rsid w:val="00AC41FE"/>
    <w:rsid w:val="00AE25DA"/>
    <w:rsid w:val="00B254F2"/>
    <w:rsid w:val="00B42140"/>
    <w:rsid w:val="00B83038"/>
    <w:rsid w:val="00BB413A"/>
    <w:rsid w:val="00CA58FC"/>
    <w:rsid w:val="00CB67B1"/>
    <w:rsid w:val="00D047A8"/>
    <w:rsid w:val="00D05E27"/>
    <w:rsid w:val="00D27511"/>
    <w:rsid w:val="00D84255"/>
    <w:rsid w:val="00E033BC"/>
    <w:rsid w:val="00E45E7E"/>
    <w:rsid w:val="00EE7986"/>
    <w:rsid w:val="00F553A7"/>
    <w:rsid w:val="00F81109"/>
    <w:rsid w:val="00F9668D"/>
    <w:rsid w:val="00FE1158"/>
    <w:rsid w:val="00FF41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C12"/>
    <w:pPr>
      <w:tabs>
        <w:tab w:val="center" w:pos="4153"/>
        <w:tab w:val="right" w:pos="8306"/>
      </w:tabs>
      <w:snapToGrid w:val="0"/>
    </w:pPr>
    <w:rPr>
      <w:sz w:val="20"/>
      <w:szCs w:val="20"/>
    </w:rPr>
  </w:style>
  <w:style w:type="character" w:customStyle="1" w:styleId="a4">
    <w:name w:val="頁首 字元"/>
    <w:basedOn w:val="a0"/>
    <w:link w:val="a3"/>
    <w:uiPriority w:val="99"/>
    <w:semiHidden/>
    <w:rsid w:val="00A70C12"/>
    <w:rPr>
      <w:sz w:val="20"/>
      <w:szCs w:val="20"/>
    </w:rPr>
  </w:style>
  <w:style w:type="paragraph" w:styleId="a5">
    <w:name w:val="footer"/>
    <w:basedOn w:val="a"/>
    <w:link w:val="a6"/>
    <w:uiPriority w:val="99"/>
    <w:semiHidden/>
    <w:unhideWhenUsed/>
    <w:rsid w:val="00A70C12"/>
    <w:pPr>
      <w:tabs>
        <w:tab w:val="center" w:pos="4153"/>
        <w:tab w:val="right" w:pos="8306"/>
      </w:tabs>
      <w:snapToGrid w:val="0"/>
    </w:pPr>
    <w:rPr>
      <w:sz w:val="20"/>
      <w:szCs w:val="20"/>
    </w:rPr>
  </w:style>
  <w:style w:type="character" w:customStyle="1" w:styleId="a6">
    <w:name w:val="頁尾 字元"/>
    <w:basedOn w:val="a0"/>
    <w:link w:val="a5"/>
    <w:uiPriority w:val="99"/>
    <w:semiHidden/>
    <w:rsid w:val="00A70C12"/>
    <w:rPr>
      <w:sz w:val="20"/>
      <w:szCs w:val="20"/>
    </w:rPr>
  </w:style>
  <w:style w:type="table" w:styleId="a7">
    <w:name w:val="Table Grid"/>
    <w:basedOn w:val="a1"/>
    <w:uiPriority w:val="59"/>
    <w:rsid w:val="00A70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70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A70C12"/>
    <w:rPr>
      <w:rFonts w:ascii="細明體" w:eastAsia="細明體" w:hAnsi="細明體" w:cs="細明體"/>
      <w:kern w:val="0"/>
      <w:sz w:val="22"/>
    </w:rPr>
  </w:style>
  <w:style w:type="paragraph" w:customStyle="1" w:styleId="Char">
    <w:name w:val="字元 字元 Char"/>
    <w:basedOn w:val="a"/>
    <w:rsid w:val="004A755E"/>
    <w:pPr>
      <w:widowControl/>
      <w:spacing w:after="160" w:line="240" w:lineRule="exact"/>
    </w:pPr>
    <w:rPr>
      <w:rFonts w:ascii="Arial" w:eastAsia="Times New Roman" w:hAnsi="Arial" w:cs="Arial"/>
      <w:kern w:val="0"/>
      <w:sz w:val="20"/>
      <w:szCs w:val="20"/>
      <w:lang w:eastAsia="en-US"/>
    </w:rPr>
  </w:style>
  <w:style w:type="paragraph" w:customStyle="1" w:styleId="Char0">
    <w:name w:val="字元 字元 Char"/>
    <w:basedOn w:val="a"/>
    <w:rsid w:val="009C38DC"/>
    <w:pPr>
      <w:widowControl/>
      <w:spacing w:after="160" w:line="240" w:lineRule="exact"/>
    </w:pPr>
    <w:rPr>
      <w:rFonts w:ascii="Arial" w:eastAsia="Times New Roman" w:hAnsi="Arial" w:cs="Arial"/>
      <w:kern w:val="0"/>
      <w:sz w:val="20"/>
      <w:szCs w:val="20"/>
      <w:lang w:eastAsia="en-US"/>
    </w:rPr>
  </w:style>
  <w:style w:type="paragraph" w:customStyle="1" w:styleId="Char1">
    <w:name w:val="字元 字元 Char"/>
    <w:basedOn w:val="a"/>
    <w:rsid w:val="004B1D4A"/>
    <w:pPr>
      <w:widowControl/>
      <w:spacing w:after="160" w:line="240" w:lineRule="exact"/>
    </w:pPr>
    <w:rPr>
      <w:rFonts w:ascii="Arial" w:eastAsia="Times New Roman" w:hAnsi="Arial" w:cs="Arial"/>
      <w:kern w:val="0"/>
      <w:sz w:val="20"/>
      <w:szCs w:val="20"/>
      <w:lang w:eastAsia="en-US"/>
    </w:rPr>
  </w:style>
  <w:style w:type="paragraph" w:customStyle="1" w:styleId="Char2">
    <w:name w:val="字元 字元 Char"/>
    <w:basedOn w:val="a"/>
    <w:rsid w:val="00F81109"/>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dcterms:created xsi:type="dcterms:W3CDTF">2016-01-04T07:56:00Z</dcterms:created>
  <dcterms:modified xsi:type="dcterms:W3CDTF">2016-01-27T07:10:00Z</dcterms:modified>
</cp:coreProperties>
</file>