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73" w:rsidRPr="00CE3AE6" w:rsidRDefault="001D26E9" w:rsidP="00C8733F">
      <w:pPr>
        <w:jc w:val="both"/>
        <w:rPr>
          <w:rFonts w:ascii="標楷體" w:eastAsia="標楷體" w:hAnsi="標楷體"/>
          <w:color w:val="000000" w:themeColor="text1"/>
          <w:sz w:val="28"/>
          <w:szCs w:val="28"/>
        </w:rPr>
      </w:pPr>
      <w:r w:rsidRPr="00CE3AE6">
        <w:rPr>
          <w:rFonts w:ascii="標楷體" w:eastAsia="標楷體" w:hAnsi="標楷體"/>
          <w:color w:val="000000" w:themeColor="text1"/>
          <w:sz w:val="28"/>
          <w:szCs w:val="28"/>
        </w:rPr>
        <w:t>證券商辦理有價證券買賣融資融券契約書</w:t>
      </w:r>
      <w:r w:rsidR="00E0643C" w:rsidRPr="00CE3AE6">
        <w:rPr>
          <w:rFonts w:ascii="標楷體" w:eastAsia="標楷體" w:hAnsi="標楷體" w:hint="eastAsia"/>
          <w:color w:val="000000" w:themeColor="text1"/>
          <w:sz w:val="28"/>
          <w:szCs w:val="28"/>
        </w:rPr>
        <w:t>部分條文</w:t>
      </w:r>
      <w:r w:rsidR="00F17124" w:rsidRPr="00CE3AE6">
        <w:rPr>
          <w:rFonts w:ascii="標楷體" w:eastAsia="標楷體" w:hAnsi="標楷體" w:hint="eastAsia"/>
          <w:color w:val="000000" w:themeColor="text1"/>
          <w:sz w:val="28"/>
          <w:szCs w:val="28"/>
        </w:rPr>
        <w:t>修正條文對照表</w:t>
      </w:r>
    </w:p>
    <w:tbl>
      <w:tblPr>
        <w:tblStyle w:val="a8"/>
        <w:tblpPr w:leftFromText="180" w:rightFromText="180" w:vertAnchor="page" w:horzAnchor="margin" w:tblpY="2605"/>
        <w:tblW w:w="0" w:type="auto"/>
        <w:tblLook w:val="04A0"/>
      </w:tblPr>
      <w:tblGrid>
        <w:gridCol w:w="2787"/>
        <w:gridCol w:w="2787"/>
        <w:gridCol w:w="2788"/>
      </w:tblGrid>
      <w:tr w:rsidR="001D26E9" w:rsidRPr="00CE3AE6" w:rsidTr="00853E73">
        <w:tc>
          <w:tcPr>
            <w:tcW w:w="2787" w:type="dxa"/>
          </w:tcPr>
          <w:p w:rsidR="001D26E9" w:rsidRPr="00CE3AE6" w:rsidRDefault="001D26E9" w:rsidP="00A03FF4">
            <w:pPr>
              <w:adjustRightInd w:val="0"/>
              <w:snapToGrid w:val="0"/>
              <w:spacing w:line="300" w:lineRule="exact"/>
              <w:jc w:val="center"/>
              <w:rPr>
                <w:rFonts w:ascii="標楷體" w:eastAsia="標楷體" w:hAnsi="標楷體"/>
                <w:bCs/>
                <w:color w:val="000000" w:themeColor="text1"/>
                <w:szCs w:val="24"/>
              </w:rPr>
            </w:pPr>
            <w:r w:rsidRPr="00CE3AE6">
              <w:rPr>
                <w:rFonts w:ascii="標楷體" w:eastAsia="標楷體" w:hAnsi="標楷體"/>
                <w:color w:val="000000" w:themeColor="text1"/>
                <w:szCs w:val="24"/>
              </w:rPr>
              <w:t>修正條文</w:t>
            </w:r>
          </w:p>
        </w:tc>
        <w:tc>
          <w:tcPr>
            <w:tcW w:w="2787" w:type="dxa"/>
          </w:tcPr>
          <w:p w:rsidR="001D26E9" w:rsidRPr="00CE3AE6" w:rsidRDefault="001D26E9" w:rsidP="00A03FF4">
            <w:pPr>
              <w:adjustRightInd w:val="0"/>
              <w:snapToGrid w:val="0"/>
              <w:spacing w:line="300" w:lineRule="exact"/>
              <w:jc w:val="center"/>
              <w:rPr>
                <w:rFonts w:ascii="標楷體" w:eastAsia="標楷體" w:hAnsi="標楷體"/>
                <w:bCs/>
                <w:color w:val="000000" w:themeColor="text1"/>
                <w:szCs w:val="24"/>
              </w:rPr>
            </w:pPr>
            <w:r w:rsidRPr="00CE3AE6">
              <w:rPr>
                <w:rFonts w:ascii="標楷體" w:eastAsia="標楷體" w:hAnsi="標楷體"/>
                <w:color w:val="000000" w:themeColor="text1"/>
                <w:szCs w:val="24"/>
              </w:rPr>
              <w:t>現行條文</w:t>
            </w:r>
          </w:p>
        </w:tc>
        <w:tc>
          <w:tcPr>
            <w:tcW w:w="2788" w:type="dxa"/>
          </w:tcPr>
          <w:p w:rsidR="001D26E9" w:rsidRPr="00CE3AE6" w:rsidRDefault="001D26E9" w:rsidP="00A03FF4">
            <w:pPr>
              <w:adjustRightInd w:val="0"/>
              <w:snapToGrid w:val="0"/>
              <w:spacing w:line="300" w:lineRule="exact"/>
              <w:jc w:val="center"/>
              <w:rPr>
                <w:rFonts w:ascii="標楷體" w:eastAsia="標楷體" w:hAnsi="標楷體"/>
                <w:bCs/>
                <w:color w:val="000000" w:themeColor="text1"/>
                <w:szCs w:val="24"/>
              </w:rPr>
            </w:pPr>
            <w:r w:rsidRPr="00CE3AE6">
              <w:rPr>
                <w:rFonts w:ascii="標楷體" w:eastAsia="標楷體" w:hAnsi="標楷體"/>
                <w:color w:val="000000" w:themeColor="text1"/>
                <w:szCs w:val="24"/>
              </w:rPr>
              <w:t>說明</w:t>
            </w:r>
          </w:p>
        </w:tc>
      </w:tr>
      <w:tr w:rsidR="009813FD" w:rsidRPr="00CE3AE6" w:rsidTr="00853E73">
        <w:tc>
          <w:tcPr>
            <w:tcW w:w="2787" w:type="dxa"/>
          </w:tcPr>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olor w:val="000000" w:themeColor="text1"/>
              </w:rPr>
            </w:pPr>
            <w:r w:rsidRPr="00CE3AE6">
              <w:rPr>
                <w:rFonts w:ascii="標楷體" w:eastAsia="標楷體" w:hAnsi="標楷體" w:hint="eastAsia"/>
                <w:color w:val="000000" w:themeColor="text1"/>
              </w:rPr>
              <w:t>第一條</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甲乙雙方間基於有價證券買賣融資融券所生權利義務，悉依證券交易法令、證券商辦理有價證券買賣融資融券</w:t>
            </w:r>
            <w:r w:rsidRPr="00CE3AE6">
              <w:rPr>
                <w:rFonts w:ascii="標楷體" w:eastAsia="標楷體" w:hAnsi="標楷體" w:cs="細明體" w:hint="eastAsia"/>
                <w:color w:val="000000" w:themeColor="text1"/>
                <w:kern w:val="0"/>
                <w:szCs w:val="24"/>
              </w:rPr>
              <w:t>業務</w:t>
            </w:r>
            <w:r w:rsidRPr="00CE3AE6">
              <w:rPr>
                <w:rFonts w:ascii="標楷體" w:eastAsia="標楷體" w:hAnsi="標楷體" w:hint="eastAsia"/>
                <w:color w:val="000000" w:themeColor="text1"/>
              </w:rPr>
              <w:t>操作辦法（以下簡稱「操作辦法」）、相關章則公告、函示、本契約及買賣有價證券受託契約之規定辦理；上開規定嗣經修訂變更者，亦同。</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甲方同意台灣證券交易所、櫃檯買賣中心及證券主管機關所指定之機構依相關法令規定蒐集、處理</w:t>
            </w:r>
            <w:r w:rsidRPr="00CE3AE6">
              <w:rPr>
                <w:rFonts w:ascii="標楷體" w:eastAsia="標楷體" w:hAnsi="標楷體" w:hint="eastAsia"/>
                <w:color w:val="000000" w:themeColor="text1"/>
                <w:u w:val="single"/>
              </w:rPr>
              <w:t>、利用及</w:t>
            </w:r>
            <w:r w:rsidRPr="00CE3AE6">
              <w:rPr>
                <w:rFonts w:ascii="標楷體" w:eastAsia="標楷體" w:hAnsi="標楷體" w:hint="eastAsia"/>
                <w:color w:val="000000" w:themeColor="text1"/>
              </w:rPr>
              <w:t>國際傳遞甲方個人資料，並由乙方將甲方個人資料傳送至證券交易所及櫃檯中心。</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s="細明體"/>
                <w:color w:val="000000" w:themeColor="text1"/>
                <w:kern w:val="0"/>
                <w:szCs w:val="24"/>
              </w:rPr>
            </w:pPr>
            <w:r w:rsidRPr="00CE3AE6">
              <w:rPr>
                <w:rFonts w:ascii="標楷體" w:eastAsia="標楷體" w:hAnsi="標楷體" w:hint="eastAsia"/>
                <w:color w:val="000000" w:themeColor="text1"/>
              </w:rPr>
              <w:t>甲方及其連帶保證人同意乙方於符合其營業登記項目或章程所定業務之需要，得向財團法人金融聯合徵信中心取得甲方及其連帶保證人之信用資料。</w:t>
            </w:r>
          </w:p>
        </w:tc>
        <w:tc>
          <w:tcPr>
            <w:tcW w:w="2787" w:type="dxa"/>
          </w:tcPr>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olor w:val="000000" w:themeColor="text1"/>
              </w:rPr>
            </w:pPr>
            <w:r w:rsidRPr="00CE3AE6">
              <w:rPr>
                <w:rFonts w:ascii="標楷體" w:eastAsia="標楷體" w:hAnsi="標楷體" w:hint="eastAsia"/>
                <w:color w:val="000000" w:themeColor="text1"/>
              </w:rPr>
              <w:t>第一條</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甲乙雙方間基於有價證券買賣融資融券所生權利義務，悉依證券交易法令、證券商辦理有價證券買賣融資融券</w:t>
            </w:r>
            <w:r w:rsidRPr="00CE3AE6">
              <w:rPr>
                <w:rFonts w:ascii="標楷體" w:eastAsia="標楷體" w:hAnsi="標楷體" w:cs="細明體" w:hint="eastAsia"/>
                <w:color w:val="000000" w:themeColor="text1"/>
                <w:kern w:val="0"/>
                <w:szCs w:val="24"/>
              </w:rPr>
              <w:t>業務</w:t>
            </w:r>
            <w:r w:rsidRPr="00CE3AE6">
              <w:rPr>
                <w:rFonts w:ascii="標楷體" w:eastAsia="標楷體" w:hAnsi="標楷體" w:hint="eastAsia"/>
                <w:color w:val="000000" w:themeColor="text1"/>
              </w:rPr>
              <w:t>操作辦法（以下簡稱「操作辦法」）、相關章則公告、函示、本契約及買賣有價證券受託契約之規定辦理；上開規定嗣經修訂變更者，亦同。</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甲方同意台灣證券交易所、櫃檯買賣中心及證券主管機關所指定之機構依相關法令規定蒐集、</w:t>
            </w:r>
            <w:r w:rsidRPr="00CE3AE6">
              <w:rPr>
                <w:rFonts w:ascii="標楷體" w:eastAsia="標楷體" w:hAnsi="標楷體" w:hint="eastAsia"/>
                <w:color w:val="000000" w:themeColor="text1"/>
                <w:u w:val="single"/>
              </w:rPr>
              <w:t>電腦</w:t>
            </w:r>
            <w:r w:rsidRPr="00CE3AE6">
              <w:rPr>
                <w:rFonts w:ascii="標楷體" w:eastAsia="標楷體" w:hAnsi="標楷體" w:hint="eastAsia"/>
                <w:color w:val="000000" w:themeColor="text1"/>
              </w:rPr>
              <w:t>處理或國際傳遞</w:t>
            </w:r>
            <w:r w:rsidRPr="00CE3AE6">
              <w:rPr>
                <w:rFonts w:ascii="標楷體" w:eastAsia="標楷體" w:hAnsi="標楷體" w:hint="eastAsia"/>
                <w:color w:val="000000" w:themeColor="text1"/>
                <w:u w:val="single"/>
              </w:rPr>
              <w:t>及利用</w:t>
            </w:r>
            <w:r w:rsidRPr="00CE3AE6">
              <w:rPr>
                <w:rFonts w:ascii="標楷體" w:eastAsia="標楷體" w:hAnsi="標楷體" w:hint="eastAsia"/>
                <w:color w:val="000000" w:themeColor="text1"/>
              </w:rPr>
              <w:t>甲方個人資料，並由乙方將甲方個人資料傳送至證券交易所及櫃檯中心。</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s="細明體"/>
                <w:color w:val="000000" w:themeColor="text1"/>
                <w:kern w:val="0"/>
                <w:szCs w:val="24"/>
              </w:rPr>
            </w:pPr>
            <w:r w:rsidRPr="00CE3AE6">
              <w:rPr>
                <w:rFonts w:ascii="標楷體" w:eastAsia="標楷體" w:hAnsi="標楷體" w:hint="eastAsia"/>
                <w:color w:val="000000" w:themeColor="text1"/>
              </w:rPr>
              <w:t>甲方及其連帶保證人同意乙方於符合其營業登記項目或章程所定業務之需要，得向財團法人金融聯合徵信中心取得甲方及其連帶保證人之信用資料。</w:t>
            </w:r>
          </w:p>
        </w:tc>
        <w:tc>
          <w:tcPr>
            <w:tcW w:w="2788" w:type="dxa"/>
          </w:tcPr>
          <w:p w:rsidR="009813FD" w:rsidRPr="00CE3AE6" w:rsidRDefault="00277200" w:rsidP="00EA5012">
            <w:pPr>
              <w:adjustRightInd w:val="0"/>
              <w:snapToGrid w:val="0"/>
              <w:spacing w:line="300" w:lineRule="exact"/>
              <w:jc w:val="both"/>
              <w:rPr>
                <w:rFonts w:ascii="標楷體" w:eastAsia="標楷體" w:hAnsi="標楷體"/>
                <w:color w:val="000000" w:themeColor="text1"/>
              </w:rPr>
            </w:pPr>
            <w:r w:rsidRPr="00CE3AE6">
              <w:rPr>
                <w:rFonts w:ascii="標楷體" w:eastAsia="標楷體" w:hAnsi="標楷體" w:hint="eastAsia"/>
                <w:color w:val="000000" w:themeColor="text1"/>
              </w:rPr>
              <w:t>配合個人資料保護法之修正，酌予</w:t>
            </w:r>
            <w:r w:rsidR="00EA5012" w:rsidRPr="00CE3AE6">
              <w:rPr>
                <w:rFonts w:ascii="標楷體" w:eastAsia="標楷體" w:hAnsi="標楷體" w:hint="eastAsia"/>
                <w:color w:val="000000" w:themeColor="text1"/>
              </w:rPr>
              <w:t>調整</w:t>
            </w:r>
            <w:r w:rsidRPr="00CE3AE6">
              <w:rPr>
                <w:rFonts w:ascii="標楷體" w:eastAsia="標楷體" w:hAnsi="標楷體" w:hint="eastAsia"/>
                <w:color w:val="000000" w:themeColor="text1"/>
              </w:rPr>
              <w:t>第二項</w:t>
            </w:r>
            <w:r w:rsidR="00EA5012" w:rsidRPr="00CE3AE6">
              <w:rPr>
                <w:rFonts w:ascii="標楷體" w:eastAsia="標楷體" w:hAnsi="標楷體" w:hint="eastAsia"/>
                <w:color w:val="000000" w:themeColor="text1"/>
              </w:rPr>
              <w:t>文字</w:t>
            </w:r>
            <w:r w:rsidRPr="00CE3AE6">
              <w:rPr>
                <w:rFonts w:ascii="標楷體" w:eastAsia="標楷體" w:hAnsi="標楷體" w:hint="eastAsia"/>
                <w:color w:val="000000" w:themeColor="text1"/>
              </w:rPr>
              <w:t>。</w:t>
            </w:r>
          </w:p>
        </w:tc>
      </w:tr>
      <w:tr w:rsidR="009813FD" w:rsidRPr="00CE3AE6" w:rsidTr="00853E73">
        <w:tc>
          <w:tcPr>
            <w:tcW w:w="2787" w:type="dxa"/>
          </w:tcPr>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t xml:space="preserve">第三條  </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t>甲方信用帳戶內之融券賣出價款及融券保證金，乙方除作下列之運用外，不得移作他用</w:t>
            </w:r>
            <w:r w:rsidR="007B383B" w:rsidRPr="007B383B">
              <w:rPr>
                <w:rFonts w:ascii="標楷體" w:eastAsia="標楷體" w:hAnsi="標楷體" w:cs="細明體" w:hint="eastAsia"/>
                <w:color w:val="000000" w:themeColor="text1"/>
                <w:kern w:val="0"/>
                <w:szCs w:val="24"/>
                <w:u w:val="single"/>
              </w:rPr>
              <w:t>：</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t>一、作為辦理融資業務之資金來源。</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lastRenderedPageBreak/>
              <w:t>二、作為向證券金融事業轉融通證券之擔保。</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u w:val="single"/>
              </w:rPr>
            </w:pPr>
            <w:r w:rsidRPr="00CE3AE6">
              <w:rPr>
                <w:rFonts w:ascii="標楷體" w:eastAsia="標楷體" w:hAnsi="標楷體" w:cs="細明體" w:hint="eastAsia"/>
                <w:color w:val="000000" w:themeColor="text1"/>
                <w:kern w:val="0"/>
                <w:szCs w:val="24"/>
                <w:u w:val="single"/>
              </w:rPr>
              <w:t>三、作為辦理證券業務借貸款項之資金來源。</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u w:val="single"/>
              </w:rPr>
            </w:pPr>
            <w:r w:rsidRPr="00CE3AE6">
              <w:rPr>
                <w:rFonts w:ascii="標楷體" w:eastAsia="標楷體" w:hAnsi="標楷體" w:cs="細明體" w:hint="eastAsia"/>
                <w:color w:val="000000" w:themeColor="text1"/>
                <w:kern w:val="0"/>
                <w:szCs w:val="24"/>
                <w:u w:val="single"/>
              </w:rPr>
              <w:t>四、作為向證券交易所借券系統借券之擔保。</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u w:val="single"/>
              </w:rPr>
            </w:pPr>
            <w:r w:rsidRPr="00CE3AE6">
              <w:rPr>
                <w:rFonts w:ascii="標楷體" w:eastAsia="標楷體" w:hAnsi="標楷體" w:cs="細明體" w:hint="eastAsia"/>
                <w:color w:val="000000" w:themeColor="text1"/>
                <w:kern w:val="0"/>
                <w:szCs w:val="24"/>
                <w:u w:val="single"/>
              </w:rPr>
              <w:t>五、</w:t>
            </w:r>
            <w:r w:rsidRPr="00CE3AE6">
              <w:rPr>
                <w:rFonts w:ascii="標楷體" w:eastAsia="標楷體" w:hAnsi="標楷體" w:cs="細明體" w:hint="eastAsia"/>
                <w:color w:val="000000" w:themeColor="text1"/>
                <w:kern w:val="0"/>
                <w:szCs w:val="24"/>
              </w:rPr>
              <w:t>銀行存款。</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u w:val="single"/>
              </w:rPr>
              <w:t>六、購買短期票券。</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u w:val="single"/>
              </w:rPr>
            </w:pPr>
          </w:p>
        </w:tc>
        <w:tc>
          <w:tcPr>
            <w:tcW w:w="2787" w:type="dxa"/>
          </w:tcPr>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lastRenderedPageBreak/>
              <w:t xml:space="preserve">第三條  </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t>甲方信用帳戶內之融券賣出價款及融券保證金，乙方除作下列之運用外，不得移作他用。</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t>一、作為辦理融資業務之資金來源。</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lastRenderedPageBreak/>
              <w:t>二、作為向證券金融事業轉融通證券之擔保。</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r w:rsidRPr="00CE3AE6">
              <w:rPr>
                <w:rFonts w:ascii="標楷體" w:eastAsia="標楷體" w:hAnsi="標楷體" w:cs="細明體" w:hint="eastAsia"/>
                <w:color w:val="000000" w:themeColor="text1"/>
                <w:kern w:val="0"/>
                <w:szCs w:val="24"/>
              </w:rPr>
              <w:t>三、銀行存款。</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p>
        </w:tc>
        <w:tc>
          <w:tcPr>
            <w:tcW w:w="2788" w:type="dxa"/>
          </w:tcPr>
          <w:p w:rsidR="009813FD" w:rsidRPr="00CE3AE6" w:rsidRDefault="009813FD" w:rsidP="0061578D">
            <w:pPr>
              <w:adjustRightInd w:val="0"/>
              <w:snapToGrid w:val="0"/>
              <w:spacing w:line="300" w:lineRule="exact"/>
              <w:jc w:val="both"/>
              <w:rPr>
                <w:rFonts w:ascii="標楷體" w:eastAsia="標楷體" w:hAnsi="標楷體"/>
                <w:color w:val="000000" w:themeColor="text1"/>
                <w:szCs w:val="24"/>
              </w:rPr>
            </w:pPr>
            <w:r w:rsidRPr="00CE3AE6">
              <w:rPr>
                <w:rFonts w:ascii="標楷體" w:eastAsia="標楷體" w:hAnsi="標楷體" w:hint="eastAsia"/>
                <w:color w:val="000000" w:themeColor="text1"/>
              </w:rPr>
              <w:lastRenderedPageBreak/>
              <w:t>配合</w:t>
            </w:r>
            <w:r w:rsidRPr="00CE3AE6">
              <w:rPr>
                <w:rFonts w:ascii="標楷體" w:eastAsia="標楷體" w:hAnsi="標楷體" w:hint="eastAsia"/>
                <w:color w:val="000000" w:themeColor="text1"/>
                <w:szCs w:val="24"/>
              </w:rPr>
              <w:t>證券商辦理有價證券買賣融資融券管理辦法第</w:t>
            </w:r>
            <w:r w:rsidR="004B4B89" w:rsidRPr="00CE3AE6">
              <w:rPr>
                <w:rFonts w:ascii="標楷體" w:eastAsia="標楷體" w:hAnsi="標楷體" w:hint="eastAsia"/>
                <w:color w:val="000000" w:themeColor="text1"/>
                <w:szCs w:val="24"/>
              </w:rPr>
              <w:t>二十一</w:t>
            </w:r>
            <w:r w:rsidRPr="00CE3AE6">
              <w:rPr>
                <w:rFonts w:ascii="標楷體" w:eastAsia="標楷體" w:hAnsi="標楷體" w:hint="eastAsia"/>
                <w:color w:val="000000" w:themeColor="text1"/>
                <w:szCs w:val="24"/>
              </w:rPr>
              <w:t>條規定，增加</w:t>
            </w:r>
            <w:r w:rsidRPr="00CE3AE6">
              <w:rPr>
                <w:rFonts w:ascii="標楷體" w:eastAsia="標楷體" w:hAnsi="標楷體" w:cs="細明體" w:hint="eastAsia"/>
                <w:color w:val="000000" w:themeColor="text1"/>
                <w:kern w:val="0"/>
                <w:szCs w:val="24"/>
              </w:rPr>
              <w:t>融券賣出價款及融券保證金</w:t>
            </w:r>
            <w:r w:rsidRPr="00CE3AE6">
              <w:rPr>
                <w:rFonts w:ascii="標楷體" w:eastAsia="標楷體" w:hAnsi="標楷體" w:hint="eastAsia"/>
                <w:color w:val="000000" w:themeColor="text1"/>
                <w:szCs w:val="24"/>
              </w:rPr>
              <w:t>運用範圍，</w:t>
            </w:r>
            <w:r w:rsidRPr="00CE3AE6">
              <w:rPr>
                <w:rFonts w:eastAsia="標楷體" w:hAnsi="標楷體" w:hint="eastAsia"/>
                <w:color w:val="000000" w:themeColor="text1"/>
              </w:rPr>
              <w:t>爰</w:t>
            </w:r>
            <w:r w:rsidR="0061578D" w:rsidRPr="00CE3AE6">
              <w:rPr>
                <w:rFonts w:eastAsia="標楷體" w:hAnsi="標楷體" w:hint="eastAsia"/>
                <w:color w:val="000000" w:themeColor="text1"/>
              </w:rPr>
              <w:t>增訂</w:t>
            </w:r>
            <w:r w:rsidRPr="00CE3AE6">
              <w:rPr>
                <w:rFonts w:eastAsia="標楷體" w:hAnsi="標楷體" w:hint="eastAsia"/>
                <w:color w:val="000000" w:themeColor="text1"/>
              </w:rPr>
              <w:t>第</w:t>
            </w:r>
            <w:r w:rsidR="00760A6B" w:rsidRPr="00CE3AE6">
              <w:rPr>
                <w:rFonts w:eastAsia="標楷體" w:hAnsi="標楷體" w:hint="eastAsia"/>
                <w:color w:val="000000" w:themeColor="text1"/>
              </w:rPr>
              <w:t>一</w:t>
            </w:r>
            <w:r w:rsidRPr="00CE3AE6">
              <w:rPr>
                <w:rFonts w:eastAsia="標楷體" w:hAnsi="標楷體" w:hint="eastAsia"/>
                <w:color w:val="000000" w:themeColor="text1"/>
              </w:rPr>
              <w:t>項第</w:t>
            </w:r>
            <w:r w:rsidR="00760A6B" w:rsidRPr="00CE3AE6">
              <w:rPr>
                <w:rFonts w:eastAsia="標楷體" w:hAnsi="標楷體" w:hint="eastAsia"/>
                <w:color w:val="000000" w:themeColor="text1"/>
              </w:rPr>
              <w:t>三</w:t>
            </w:r>
            <w:r w:rsidR="0061578D" w:rsidRPr="00CE3AE6">
              <w:rPr>
                <w:rFonts w:eastAsia="標楷體" w:hAnsi="標楷體" w:hint="eastAsia"/>
                <w:color w:val="000000" w:themeColor="text1"/>
              </w:rPr>
              <w:t>、四、</w:t>
            </w:r>
            <w:r w:rsidR="00760A6B" w:rsidRPr="00CE3AE6">
              <w:rPr>
                <w:rFonts w:eastAsia="標楷體" w:hAnsi="標楷體" w:hint="eastAsia"/>
                <w:color w:val="000000" w:themeColor="text1"/>
              </w:rPr>
              <w:t>六</w:t>
            </w:r>
            <w:r w:rsidRPr="00CE3AE6">
              <w:rPr>
                <w:rFonts w:eastAsia="標楷體" w:hAnsi="標楷體" w:hint="eastAsia"/>
                <w:color w:val="000000" w:themeColor="text1"/>
              </w:rPr>
              <w:t>款規定，原第</w:t>
            </w:r>
            <w:r w:rsidR="00760A6B" w:rsidRPr="00CE3AE6">
              <w:rPr>
                <w:rFonts w:eastAsia="標楷體" w:hAnsi="標楷體" w:hint="eastAsia"/>
                <w:color w:val="000000" w:themeColor="text1"/>
              </w:rPr>
              <w:t>三</w:t>
            </w:r>
            <w:r w:rsidRPr="00CE3AE6">
              <w:rPr>
                <w:rFonts w:eastAsia="標楷體" w:hAnsi="標楷體" w:hint="eastAsia"/>
                <w:color w:val="000000" w:themeColor="text1"/>
              </w:rPr>
              <w:t>款移至第</w:t>
            </w:r>
            <w:r w:rsidR="00760A6B" w:rsidRPr="00CE3AE6">
              <w:rPr>
                <w:rFonts w:eastAsia="標楷體" w:hAnsi="標楷體" w:hint="eastAsia"/>
                <w:color w:val="000000" w:themeColor="text1"/>
              </w:rPr>
              <w:t>五</w:t>
            </w:r>
            <w:r w:rsidRPr="00CE3AE6">
              <w:rPr>
                <w:rFonts w:eastAsia="標楷體" w:hAnsi="標楷體" w:hint="eastAsia"/>
                <w:color w:val="000000" w:themeColor="text1"/>
              </w:rPr>
              <w:t>款。</w:t>
            </w:r>
          </w:p>
        </w:tc>
      </w:tr>
      <w:tr w:rsidR="009813FD" w:rsidRPr="00CE3AE6" w:rsidTr="00853E73">
        <w:tc>
          <w:tcPr>
            <w:tcW w:w="2787" w:type="dxa"/>
          </w:tcPr>
          <w:p w:rsidR="009813FD" w:rsidRPr="00CE3AE6" w:rsidRDefault="009813FD" w:rsidP="009813FD">
            <w:pPr>
              <w:pStyle w:val="HTML"/>
              <w:jc w:val="both"/>
              <w:rPr>
                <w:rFonts w:ascii="標楷體" w:eastAsia="標楷體" w:hAnsi="標楷體"/>
                <w:color w:val="000000" w:themeColor="text1"/>
              </w:rPr>
            </w:pPr>
            <w:r w:rsidRPr="00CE3AE6">
              <w:rPr>
                <w:rFonts w:ascii="標楷體" w:eastAsia="標楷體" w:hAnsi="標楷體" w:hint="eastAsia"/>
                <w:color w:val="000000" w:themeColor="text1"/>
              </w:rPr>
              <w:lastRenderedPageBreak/>
              <w:t xml:space="preserve">第四條  </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甲方信用帳戶內之有價證券，乙方除作下列之運用，不得移作他用，且應送存集中保管</w:t>
            </w:r>
            <w:r w:rsidR="0061578D" w:rsidRPr="00CE3AE6">
              <w:rPr>
                <w:rFonts w:ascii="標楷體" w:eastAsia="標楷體" w:hAnsi="標楷體" w:hint="eastAsia"/>
                <w:color w:val="000000" w:themeColor="text1"/>
                <w:u w:val="single"/>
              </w:rPr>
              <w:t>：</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rPr>
            </w:pPr>
            <w:r w:rsidRPr="00CE3AE6">
              <w:rPr>
                <w:rFonts w:ascii="標楷體" w:eastAsia="標楷體" w:hAnsi="標楷體" w:hint="eastAsia"/>
                <w:color w:val="000000" w:themeColor="text1"/>
              </w:rPr>
              <w:t>一、作為辦理融券業務之券源。</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rPr>
            </w:pPr>
            <w:r w:rsidRPr="00CE3AE6">
              <w:rPr>
                <w:rFonts w:ascii="標楷體" w:eastAsia="標楷體" w:hAnsi="標楷體" w:hint="eastAsia"/>
                <w:color w:val="000000" w:themeColor="text1"/>
              </w:rPr>
              <w:t>二、作為向證券金融事業轉融通資金或證券之擔保。</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u w:val="single"/>
              </w:rPr>
            </w:pPr>
            <w:r w:rsidRPr="00CE3AE6">
              <w:rPr>
                <w:rFonts w:ascii="標楷體" w:eastAsia="標楷體" w:hAnsi="標楷體" w:hint="eastAsia"/>
                <w:color w:val="000000" w:themeColor="text1"/>
                <w:u w:val="single"/>
              </w:rPr>
              <w:t>三、作為辦理有價證券借貸業務之出借券源。</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u w:val="single"/>
              </w:rPr>
            </w:pPr>
            <w:r w:rsidRPr="00CE3AE6">
              <w:rPr>
                <w:rFonts w:ascii="標楷體" w:eastAsia="標楷體" w:hAnsi="標楷體" w:hint="eastAsia"/>
                <w:color w:val="000000" w:themeColor="text1"/>
                <w:u w:val="single"/>
              </w:rPr>
              <w:t>四、作為向證券交易所借券系統借券之擔保。</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u w:val="single"/>
              </w:rPr>
            </w:pPr>
            <w:r w:rsidRPr="00CE3AE6">
              <w:rPr>
                <w:rFonts w:ascii="標楷體" w:eastAsia="標楷體" w:hAnsi="標楷體" w:hint="eastAsia"/>
                <w:color w:val="000000" w:themeColor="text1"/>
                <w:u w:val="single"/>
              </w:rPr>
              <w:t>五、出借予辦理有價證券借貸業務之證券商或證券金融事業作為辦理有價證券借貸業務或有價證券融資融券業務之券源。</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u w:val="single"/>
              </w:rPr>
            </w:pPr>
            <w:r w:rsidRPr="00CE3AE6">
              <w:rPr>
                <w:rFonts w:ascii="標楷體" w:eastAsia="標楷體" w:hAnsi="標楷體" w:hint="eastAsia"/>
                <w:color w:val="000000" w:themeColor="text1"/>
                <w:u w:val="single"/>
              </w:rPr>
              <w:t>六、於證券交易所借券系統出借</w:t>
            </w:r>
            <w:r w:rsidR="00A13EEE">
              <w:rPr>
                <w:rFonts w:ascii="標楷體" w:eastAsia="標楷體" w:hAnsi="標楷體" w:hint="eastAsia"/>
                <w:color w:val="000000" w:themeColor="text1"/>
                <w:u w:val="single"/>
              </w:rPr>
              <w:t>證券</w:t>
            </w:r>
            <w:r w:rsidRPr="00CE3AE6">
              <w:rPr>
                <w:rFonts w:ascii="標楷體" w:eastAsia="標楷體" w:hAnsi="標楷體" w:hint="eastAsia"/>
                <w:color w:val="000000" w:themeColor="text1"/>
                <w:u w:val="single"/>
              </w:rPr>
              <w:t>。</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u w:val="single"/>
              </w:rPr>
            </w:pPr>
            <w:r w:rsidRPr="00CE3AE6">
              <w:rPr>
                <w:rFonts w:ascii="標楷體" w:eastAsia="標楷體" w:hAnsi="標楷體" w:hint="eastAsia"/>
                <w:color w:val="000000" w:themeColor="text1"/>
                <w:u w:val="single"/>
              </w:rPr>
              <w:t>七、參與證券金融事業之標借或議借。</w:t>
            </w:r>
          </w:p>
          <w:p w:rsidR="009813FD" w:rsidRPr="00CE3AE6" w:rsidRDefault="009813FD" w:rsidP="009813FD">
            <w:pPr>
              <w:pStyle w:val="HTML"/>
              <w:jc w:val="both"/>
              <w:rPr>
                <w:rFonts w:ascii="標楷體" w:eastAsia="標楷體" w:hAnsi="標楷體"/>
                <w:color w:val="000000" w:themeColor="text1"/>
              </w:rPr>
            </w:pP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甲方融資買進之證</w:t>
            </w:r>
            <w:r w:rsidRPr="00CE3AE6">
              <w:rPr>
                <w:rFonts w:ascii="標楷體" w:eastAsia="標楷體" w:hAnsi="標楷體" w:hint="eastAsia"/>
                <w:color w:val="000000" w:themeColor="text1"/>
              </w:rPr>
              <w:lastRenderedPageBreak/>
              <w:t>券及作為擔保之抵繳證券，其無償配股股票股利率達百分之二十以上者，該權值新股全部作為擔保品；或甲方融資買進之證券及作為擔保之抵繳證券，其發行公司辦理分割減資事宜，且減資後股票恢復交易與分割受讓公司之股票上市或上櫃為同日者，該分割受讓公司之股票若無操作辦法第二十六條第二項第二款所列情事，應全部作為擔保品。</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前項作為擔保品之權值新股或分割受讓公司之股票，應放棄緩課所得稅之權利，並由證券集中保管事業以帳簿劃撥方式轉撥至乙方融資融券專戶。</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olor w:val="000000" w:themeColor="text1"/>
              </w:rPr>
            </w:pPr>
            <w:r w:rsidRPr="00CE3AE6">
              <w:rPr>
                <w:rFonts w:ascii="標楷體" w:eastAsia="標楷體" w:hAnsi="標楷體" w:hint="eastAsia"/>
                <w:color w:val="000000" w:themeColor="text1"/>
              </w:rPr>
              <w:t>乙方運用第一項有價證券，應負責於融資融券清結時，以種類、數量相同之有價證券交付，甲方絕無異議。</w:t>
            </w:r>
          </w:p>
        </w:tc>
        <w:tc>
          <w:tcPr>
            <w:tcW w:w="2787" w:type="dxa"/>
          </w:tcPr>
          <w:p w:rsidR="009813FD" w:rsidRPr="00CE3AE6" w:rsidRDefault="009813FD" w:rsidP="009813FD">
            <w:pPr>
              <w:pStyle w:val="HTML"/>
              <w:jc w:val="both"/>
              <w:rPr>
                <w:rFonts w:ascii="標楷體" w:eastAsia="標楷體" w:hAnsi="標楷體"/>
                <w:color w:val="000000" w:themeColor="text1"/>
              </w:rPr>
            </w:pPr>
            <w:r w:rsidRPr="00CE3AE6">
              <w:rPr>
                <w:rFonts w:ascii="標楷體" w:eastAsia="標楷體" w:hAnsi="標楷體" w:hint="eastAsia"/>
                <w:color w:val="000000" w:themeColor="text1"/>
              </w:rPr>
              <w:lastRenderedPageBreak/>
              <w:t xml:space="preserve">第四條  </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甲方信用帳戶內之有價證券，乙方除作下列之運用，不得移作他用，且應送存集中保管。</w:t>
            </w:r>
          </w:p>
          <w:p w:rsidR="009813FD" w:rsidRPr="00CE3AE6" w:rsidRDefault="009813FD" w:rsidP="00615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rPr>
            </w:pPr>
            <w:r w:rsidRPr="00CE3AE6">
              <w:rPr>
                <w:rFonts w:ascii="標楷體" w:eastAsia="標楷體" w:hAnsi="標楷體" w:hint="eastAsia"/>
                <w:color w:val="000000" w:themeColor="text1"/>
              </w:rPr>
              <w:t>一、作為辦理融券業務之券源。</w:t>
            </w:r>
          </w:p>
          <w:p w:rsidR="009813FD" w:rsidRPr="00CE3AE6" w:rsidRDefault="009813FD" w:rsidP="00615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olor w:val="000000" w:themeColor="text1"/>
              </w:rPr>
            </w:pPr>
            <w:r w:rsidRPr="00CE3AE6">
              <w:rPr>
                <w:rFonts w:ascii="標楷體" w:eastAsia="標楷體" w:hAnsi="標楷體" w:hint="eastAsia"/>
                <w:color w:val="000000" w:themeColor="text1"/>
              </w:rPr>
              <w:t>二、作為向證券金融事業轉融通資金或證券之擔保。</w:t>
            </w: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F60752" w:rsidRPr="00CE3AE6" w:rsidRDefault="00F60752"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甲方融資買進之證</w:t>
            </w:r>
            <w:r w:rsidRPr="00CE3AE6">
              <w:rPr>
                <w:rFonts w:ascii="標楷體" w:eastAsia="標楷體" w:hAnsi="標楷體" w:hint="eastAsia"/>
                <w:color w:val="000000" w:themeColor="text1"/>
              </w:rPr>
              <w:lastRenderedPageBreak/>
              <w:t>券及作為擔保之抵繳證券，其無償配股股票股利率達百分之二十以上者，該權值新股全部作為擔保品；或甲方融資買進之證券及作為擔保之抵繳證券，其發行公司辦理分割減資事宜，且減資後股票恢復交易與分割受讓公司之股票上市或上櫃為同日者，該分割受讓公司之股票若無操作辦法第二十六條第二項第二款所列情事，應全部作為擔保品。</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前項作為擔保品之權值新股或分割受讓公司之股票，應放棄緩課所得稅之權利，並由證券集中保管事業以帳簿劃撥方式轉撥至乙方融資融券專戶。</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乙方運用第一項有價證券，應負責於融資融券清結時，以種類、數量相同之有價證券交付，甲方絕無異議。</w:t>
            </w:r>
          </w:p>
        </w:tc>
        <w:tc>
          <w:tcPr>
            <w:tcW w:w="2788" w:type="dxa"/>
          </w:tcPr>
          <w:p w:rsidR="009813FD" w:rsidRPr="00CE3AE6" w:rsidRDefault="009813FD" w:rsidP="00760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olor w:val="000000" w:themeColor="text1"/>
              </w:rPr>
            </w:pPr>
            <w:r w:rsidRPr="00CE3AE6">
              <w:rPr>
                <w:rFonts w:ascii="標楷體" w:eastAsia="標楷體" w:hAnsi="標楷體" w:hint="eastAsia"/>
                <w:color w:val="000000" w:themeColor="text1"/>
              </w:rPr>
              <w:lastRenderedPageBreak/>
              <w:t>配合</w:t>
            </w:r>
            <w:r w:rsidRPr="00CE3AE6">
              <w:rPr>
                <w:rFonts w:ascii="標楷體" w:eastAsia="標楷體" w:hAnsi="標楷體" w:hint="eastAsia"/>
                <w:color w:val="000000" w:themeColor="text1"/>
                <w:szCs w:val="24"/>
              </w:rPr>
              <w:t>證券商辦理有價證券買賣融資融券管理辦法</w:t>
            </w:r>
            <w:r w:rsidRPr="00CE3AE6">
              <w:rPr>
                <w:rFonts w:eastAsia="標楷體" w:hAnsi="標楷體" w:hint="eastAsia"/>
                <w:color w:val="000000" w:themeColor="text1"/>
              </w:rPr>
              <w:t>第</w:t>
            </w:r>
            <w:r w:rsidR="004B4B89" w:rsidRPr="00CE3AE6">
              <w:rPr>
                <w:rFonts w:eastAsia="標楷體" w:hAnsi="標楷體" w:hint="eastAsia"/>
                <w:color w:val="000000" w:themeColor="text1"/>
              </w:rPr>
              <w:t>二十二</w:t>
            </w:r>
            <w:r w:rsidRPr="00CE3AE6">
              <w:rPr>
                <w:rFonts w:eastAsia="標楷體" w:hAnsi="標楷體" w:hint="eastAsia"/>
                <w:color w:val="000000" w:themeColor="text1"/>
              </w:rPr>
              <w:t>條規定修正，放寬</w:t>
            </w:r>
            <w:r w:rsidR="00041576" w:rsidRPr="00041576">
              <w:rPr>
                <w:rFonts w:eastAsia="標楷體" w:hAnsi="標楷體" w:hint="eastAsia"/>
                <w:color w:val="000000" w:themeColor="text1"/>
              </w:rPr>
              <w:t>證券商取得之融資擔保證券用途</w:t>
            </w:r>
            <w:r w:rsidRPr="00CE3AE6">
              <w:rPr>
                <w:rFonts w:eastAsia="標楷體" w:hAnsi="標楷體" w:hint="eastAsia"/>
                <w:color w:val="000000" w:themeColor="text1"/>
              </w:rPr>
              <w:t>，爰修正第</w:t>
            </w:r>
            <w:r w:rsidR="00760A6B" w:rsidRPr="00CE3AE6">
              <w:rPr>
                <w:rFonts w:eastAsia="標楷體" w:hAnsi="標楷體" w:hint="eastAsia"/>
                <w:color w:val="000000" w:themeColor="text1"/>
              </w:rPr>
              <w:t>一</w:t>
            </w:r>
            <w:r w:rsidRPr="00CE3AE6">
              <w:rPr>
                <w:rFonts w:eastAsia="標楷體" w:hAnsi="標楷體" w:hint="eastAsia"/>
                <w:color w:val="000000" w:themeColor="text1"/>
              </w:rPr>
              <w:t>項第</w:t>
            </w:r>
            <w:r w:rsidR="00760A6B" w:rsidRPr="00CE3AE6">
              <w:rPr>
                <w:rFonts w:eastAsia="標楷體" w:hAnsi="標楷體" w:hint="eastAsia"/>
                <w:color w:val="000000" w:themeColor="text1"/>
              </w:rPr>
              <w:t>三</w:t>
            </w:r>
            <w:r w:rsidR="00753229" w:rsidRPr="00CE3AE6">
              <w:rPr>
                <w:rFonts w:eastAsia="標楷體" w:hAnsi="標楷體" w:hint="eastAsia"/>
                <w:color w:val="000000" w:themeColor="text1"/>
              </w:rPr>
              <w:t>款</w:t>
            </w:r>
            <w:r w:rsidRPr="00CE3AE6">
              <w:rPr>
                <w:rFonts w:eastAsia="標楷體" w:hAnsi="標楷體" w:hint="eastAsia"/>
                <w:color w:val="000000" w:themeColor="text1"/>
              </w:rPr>
              <w:t>至第</w:t>
            </w:r>
            <w:r w:rsidR="00760A6B" w:rsidRPr="00CE3AE6">
              <w:rPr>
                <w:rFonts w:eastAsia="標楷體" w:hAnsi="標楷體" w:hint="eastAsia"/>
                <w:color w:val="000000" w:themeColor="text1"/>
              </w:rPr>
              <w:t>七</w:t>
            </w:r>
            <w:r w:rsidRPr="00CE3AE6">
              <w:rPr>
                <w:rFonts w:eastAsia="標楷體" w:hAnsi="標楷體" w:hint="eastAsia"/>
                <w:color w:val="000000" w:themeColor="text1"/>
              </w:rPr>
              <w:t>款規定。</w:t>
            </w:r>
          </w:p>
        </w:tc>
      </w:tr>
      <w:tr w:rsidR="009813FD" w:rsidRPr="00CE3AE6" w:rsidTr="00853E73">
        <w:tc>
          <w:tcPr>
            <w:tcW w:w="2787" w:type="dxa"/>
          </w:tcPr>
          <w:p w:rsidR="009813FD" w:rsidRPr="00CE3AE6" w:rsidRDefault="009813FD" w:rsidP="009813FD">
            <w:pPr>
              <w:pStyle w:val="HTML"/>
              <w:jc w:val="both"/>
              <w:rPr>
                <w:rFonts w:ascii="標楷體" w:eastAsia="標楷體" w:hAnsi="標楷體"/>
                <w:color w:val="000000" w:themeColor="text1"/>
              </w:rPr>
            </w:pPr>
            <w:r w:rsidRPr="00CE3AE6">
              <w:rPr>
                <w:rFonts w:ascii="標楷體" w:eastAsia="標楷體" w:hAnsi="標楷體" w:hint="eastAsia"/>
                <w:color w:val="000000" w:themeColor="text1"/>
              </w:rPr>
              <w:lastRenderedPageBreak/>
              <w:t xml:space="preserve">第十條  </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u w:val="single"/>
              </w:rPr>
            </w:pPr>
            <w:r w:rsidRPr="00CE3AE6">
              <w:rPr>
                <w:rFonts w:ascii="標楷體" w:eastAsia="標楷體" w:hAnsi="標楷體"/>
                <w:color w:val="000000" w:themeColor="text1"/>
                <w:u w:val="single"/>
              </w:rPr>
              <w:t>乙方應向甲方收取之融資利息</w:t>
            </w:r>
            <w:r w:rsidRPr="00CE3AE6">
              <w:rPr>
                <w:rFonts w:ascii="標楷體" w:eastAsia="標楷體" w:hAnsi="標楷體" w:hint="eastAsia"/>
                <w:color w:val="000000" w:themeColor="text1"/>
                <w:u w:val="single"/>
              </w:rPr>
              <w:t>與</w:t>
            </w:r>
            <w:r w:rsidRPr="00CE3AE6">
              <w:rPr>
                <w:rFonts w:ascii="標楷體" w:eastAsia="標楷體" w:hAnsi="標楷體"/>
                <w:color w:val="000000" w:themeColor="text1"/>
                <w:u w:val="single"/>
              </w:rPr>
              <w:t>應</w:t>
            </w:r>
            <w:r w:rsidR="0018427C" w:rsidRPr="00CE3AE6">
              <w:rPr>
                <w:rFonts w:ascii="標楷體" w:eastAsia="標楷體" w:hAnsi="標楷體" w:hint="eastAsia"/>
                <w:color w:val="000000" w:themeColor="text1"/>
                <w:u w:val="single"/>
              </w:rPr>
              <w:t>支</w:t>
            </w:r>
            <w:r w:rsidRPr="00CE3AE6">
              <w:rPr>
                <w:rFonts w:ascii="標楷體" w:eastAsia="標楷體" w:hAnsi="標楷體"/>
                <w:color w:val="000000" w:themeColor="text1"/>
                <w:u w:val="single"/>
              </w:rPr>
              <w:t>付甲方之融券賣出價款與保證金利息，其利率由乙方訂定。</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u w:val="single"/>
              </w:rPr>
            </w:pPr>
            <w:r w:rsidRPr="00CE3AE6">
              <w:rPr>
                <w:rFonts w:ascii="標楷體" w:eastAsia="標楷體" w:hAnsi="標楷體"/>
                <w:color w:val="000000" w:themeColor="text1"/>
                <w:u w:val="single"/>
              </w:rPr>
              <w:t>前項利息按甲方融資</w:t>
            </w:r>
            <w:r w:rsidRPr="00CE3AE6">
              <w:rPr>
                <w:rFonts w:ascii="標楷體" w:eastAsia="標楷體" w:hAnsi="標楷體" w:hint="eastAsia"/>
                <w:color w:val="000000" w:themeColor="text1"/>
                <w:u w:val="single"/>
              </w:rPr>
              <w:t>或融券</w:t>
            </w:r>
            <w:r w:rsidRPr="00CE3AE6">
              <w:rPr>
                <w:rFonts w:ascii="標楷體" w:eastAsia="標楷體" w:hAnsi="標楷體"/>
                <w:color w:val="000000" w:themeColor="text1"/>
                <w:u w:val="single"/>
              </w:rPr>
              <w:t>成交日後第二營業日</w:t>
            </w:r>
            <w:r w:rsidR="00F60752" w:rsidRPr="00CE3AE6">
              <w:rPr>
                <w:rFonts w:ascii="標楷體" w:eastAsia="標楷體" w:hAnsi="標楷體" w:hint="eastAsia"/>
                <w:color w:val="000000" w:themeColor="text1"/>
                <w:u w:val="single"/>
              </w:rPr>
              <w:t>起</w:t>
            </w:r>
            <w:r w:rsidRPr="00CE3AE6">
              <w:rPr>
                <w:rFonts w:ascii="標楷體" w:eastAsia="標楷體" w:hAnsi="標楷體"/>
                <w:color w:val="000000" w:themeColor="text1"/>
                <w:u w:val="single"/>
              </w:rPr>
              <w:t>迄清償前一日</w:t>
            </w:r>
            <w:r w:rsidRPr="00CE3AE6">
              <w:rPr>
                <w:rFonts w:ascii="標楷體" w:eastAsia="標楷體" w:hAnsi="標楷體"/>
                <w:color w:val="000000" w:themeColor="text1"/>
                <w:u w:val="single"/>
              </w:rPr>
              <w:lastRenderedPageBreak/>
              <w:t>之日數計算；利率如經調整時，甲方已融資</w:t>
            </w:r>
            <w:r w:rsidRPr="00CE3AE6">
              <w:rPr>
                <w:rFonts w:ascii="標楷體" w:eastAsia="標楷體" w:hAnsi="標楷體" w:hint="eastAsia"/>
                <w:color w:val="000000" w:themeColor="text1"/>
                <w:u w:val="single"/>
              </w:rPr>
              <w:t>或融券</w:t>
            </w:r>
            <w:r w:rsidRPr="00CE3AE6">
              <w:rPr>
                <w:rFonts w:ascii="標楷體" w:eastAsia="標楷體" w:hAnsi="標楷體"/>
                <w:color w:val="000000" w:themeColor="text1"/>
                <w:u w:val="single"/>
              </w:rPr>
              <w:t>尚未清結部</w:t>
            </w:r>
            <w:r w:rsidR="00F60752" w:rsidRPr="00CE3AE6">
              <w:rPr>
                <w:rFonts w:ascii="標楷體" w:eastAsia="標楷體" w:hAnsi="標楷體"/>
                <w:color w:val="000000" w:themeColor="text1"/>
                <w:u w:val="single"/>
              </w:rPr>
              <w:t>分</w:t>
            </w:r>
            <w:r w:rsidRPr="00CE3AE6">
              <w:rPr>
                <w:rFonts w:ascii="標楷體" w:eastAsia="標楷體" w:hAnsi="標楷體"/>
                <w:color w:val="000000" w:themeColor="text1"/>
                <w:u w:val="single"/>
              </w:rPr>
              <w:t>，乙方均自調整之日起，按調整後利率</w:t>
            </w:r>
            <w:r w:rsidR="00C8763E" w:rsidRPr="00CE3AE6">
              <w:rPr>
                <w:rFonts w:ascii="標楷體" w:eastAsia="標楷體" w:hAnsi="標楷體" w:cs="細明體" w:hint="eastAsia"/>
                <w:color w:val="000000" w:themeColor="text1"/>
                <w:kern w:val="0"/>
                <w:szCs w:val="24"/>
                <w:u w:val="single"/>
              </w:rPr>
              <w:t>計算收付</w:t>
            </w:r>
            <w:r w:rsidRPr="00CE3AE6">
              <w:rPr>
                <w:rFonts w:ascii="標楷體" w:eastAsia="標楷體" w:hAnsi="標楷體"/>
                <w:color w:val="000000" w:themeColor="text1"/>
                <w:u w:val="single"/>
              </w:rPr>
              <w:t>。</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u w:val="single"/>
              </w:rPr>
            </w:pPr>
            <w:r w:rsidRPr="00CE3AE6">
              <w:rPr>
                <w:rFonts w:ascii="標楷體" w:eastAsia="標楷體" w:hAnsi="標楷體"/>
                <w:color w:val="000000" w:themeColor="text1"/>
                <w:u w:val="single"/>
              </w:rPr>
              <w:t>乙方</w:t>
            </w:r>
            <w:r w:rsidRPr="00CE3AE6">
              <w:rPr>
                <w:rFonts w:ascii="標楷體" w:eastAsia="標楷體" w:hAnsi="標楷體" w:hint="eastAsia"/>
                <w:color w:val="000000" w:themeColor="text1"/>
                <w:u w:val="single"/>
              </w:rPr>
              <w:t>以融資買進之證券供</w:t>
            </w:r>
            <w:r w:rsidRPr="00CE3AE6">
              <w:rPr>
                <w:rFonts w:ascii="標楷體" w:eastAsia="標楷體" w:hAnsi="標楷體"/>
                <w:color w:val="000000" w:themeColor="text1"/>
                <w:u w:val="single"/>
              </w:rPr>
              <w:t>甲方</w:t>
            </w:r>
            <w:r w:rsidRPr="00CE3AE6">
              <w:rPr>
                <w:rFonts w:ascii="標楷體" w:eastAsia="標楷體" w:hAnsi="標楷體" w:hint="eastAsia"/>
                <w:color w:val="000000" w:themeColor="text1"/>
                <w:szCs w:val="24"/>
                <w:u w:val="single"/>
              </w:rPr>
              <w:t>融券賣出，</w:t>
            </w:r>
            <w:r w:rsidRPr="00CE3AE6">
              <w:rPr>
                <w:rFonts w:ascii="標楷體" w:eastAsia="標楷體" w:hAnsi="標楷體"/>
                <w:color w:val="000000" w:themeColor="text1"/>
                <w:u w:val="single"/>
              </w:rPr>
              <w:t>乙方應向甲方收取之融券手續費，其費率由乙方訂定。</w:t>
            </w:r>
            <w:r w:rsidRPr="00CE3AE6">
              <w:rPr>
                <w:rFonts w:ascii="標楷體" w:eastAsia="標楷體" w:hAnsi="標楷體" w:cs="細明體" w:hint="eastAsia"/>
                <w:color w:val="000000" w:themeColor="text1"/>
                <w:kern w:val="0"/>
                <w:szCs w:val="24"/>
                <w:u w:val="single"/>
              </w:rPr>
              <w:t>乙方因證券金融事業辦理標借、議借或標購某種差額證券應負擔之各項費用，甲方如有融券該種證券，同意</w:t>
            </w:r>
            <w:r w:rsidR="00F2769C" w:rsidRPr="00CE3AE6">
              <w:rPr>
                <w:rFonts w:ascii="標楷體" w:eastAsia="標楷體" w:hAnsi="標楷體" w:cs="細明體" w:hint="eastAsia"/>
                <w:color w:val="000000" w:themeColor="text1"/>
                <w:kern w:val="0"/>
                <w:szCs w:val="24"/>
                <w:u w:val="single"/>
              </w:rPr>
              <w:t>依操作辦法第二十二條</w:t>
            </w:r>
            <w:r w:rsidRPr="00CE3AE6">
              <w:rPr>
                <w:rFonts w:ascii="標楷體" w:eastAsia="標楷體" w:hAnsi="標楷體" w:cs="細明體" w:hint="eastAsia"/>
                <w:color w:val="000000" w:themeColor="text1"/>
                <w:kern w:val="0"/>
                <w:szCs w:val="24"/>
                <w:u w:val="single"/>
              </w:rPr>
              <w:t>規定辦理並負擔</w:t>
            </w:r>
            <w:r w:rsidR="00237006" w:rsidRPr="00CE3AE6">
              <w:rPr>
                <w:rFonts w:ascii="標楷體" w:eastAsia="標楷體" w:hAnsi="標楷體" w:cs="細明體" w:hint="eastAsia"/>
                <w:color w:val="000000" w:themeColor="text1"/>
                <w:kern w:val="0"/>
                <w:szCs w:val="24"/>
                <w:u w:val="single"/>
              </w:rPr>
              <w:t>標借、議借或</w:t>
            </w:r>
            <w:r w:rsidRPr="00CE3AE6">
              <w:rPr>
                <w:rFonts w:ascii="標楷體" w:eastAsia="標楷體" w:hAnsi="標楷體" w:cs="細明體" w:hint="eastAsia"/>
                <w:color w:val="000000" w:themeColor="text1"/>
                <w:kern w:val="0"/>
                <w:szCs w:val="24"/>
                <w:u w:val="single"/>
              </w:rPr>
              <w:t>標購費用，乙方得在甲方繳存之融券擔保品款項中扣抵。</w:t>
            </w:r>
          </w:p>
          <w:p w:rsidR="009813FD" w:rsidRPr="00CE3AE6" w:rsidRDefault="009813FD" w:rsidP="009813FD">
            <w:pPr>
              <w:pStyle w:val="HTML"/>
              <w:ind w:firstLineChars="197" w:firstLine="473"/>
              <w:jc w:val="both"/>
              <w:rPr>
                <w:rFonts w:ascii="標楷體" w:eastAsia="標楷體" w:hAnsi="標楷體"/>
                <w:color w:val="000000" w:themeColor="text1"/>
                <w:u w:val="single"/>
              </w:rPr>
            </w:pPr>
            <w:r w:rsidRPr="00CE3AE6">
              <w:rPr>
                <w:rFonts w:ascii="標楷體" w:eastAsia="標楷體" w:hAnsi="標楷體"/>
                <w:color w:val="000000" w:themeColor="text1"/>
                <w:u w:val="single"/>
              </w:rPr>
              <w:t>乙方</w:t>
            </w:r>
            <w:r w:rsidRPr="00CE3AE6">
              <w:rPr>
                <w:rFonts w:ascii="標楷體" w:eastAsia="標楷體" w:hAnsi="標楷體" w:hint="eastAsia"/>
                <w:color w:val="000000" w:themeColor="text1"/>
                <w:u w:val="single"/>
              </w:rPr>
              <w:t>以</w:t>
            </w:r>
            <w:r w:rsidRPr="00CE3AE6">
              <w:rPr>
                <w:rFonts w:eastAsia="標楷體" w:hAnsi="標楷體" w:hint="eastAsia"/>
                <w:color w:val="000000" w:themeColor="text1"/>
                <w:u w:val="single"/>
              </w:rPr>
              <w:t>向證券交易所借券系統借入之有價證券</w:t>
            </w:r>
            <w:r w:rsidR="00D73E01">
              <w:rPr>
                <w:rFonts w:eastAsia="標楷體" w:hAnsi="標楷體" w:hint="eastAsia"/>
                <w:color w:val="000000" w:themeColor="text1"/>
                <w:u w:val="single"/>
              </w:rPr>
              <w:t>、</w:t>
            </w:r>
            <w:r w:rsidRPr="00CE3AE6">
              <w:rPr>
                <w:rFonts w:eastAsia="標楷體" w:hAnsi="標楷體" w:hint="eastAsia"/>
                <w:color w:val="000000" w:themeColor="text1"/>
                <w:u w:val="single"/>
              </w:rPr>
              <w:t>辦理有價證券借貸業務自客戶借入之有價證券</w:t>
            </w:r>
            <w:r w:rsidR="00D73E01">
              <w:rPr>
                <w:rFonts w:eastAsia="標楷體" w:hAnsi="標楷體" w:hint="eastAsia"/>
                <w:color w:val="000000" w:themeColor="text1"/>
                <w:u w:val="single"/>
              </w:rPr>
              <w:t>、</w:t>
            </w:r>
            <w:r w:rsidRPr="00CE3AE6">
              <w:rPr>
                <w:rFonts w:eastAsia="標楷體" w:hAnsi="標楷體" w:hint="eastAsia"/>
                <w:color w:val="000000" w:themeColor="text1"/>
                <w:u w:val="single"/>
              </w:rPr>
              <w:t>自辦理有價證券借貸業務或有價證券融資融券業務之證券商或證券金融事業借入之有價證券或自有有價證券供</w:t>
            </w:r>
            <w:r w:rsidRPr="00CE3AE6">
              <w:rPr>
                <w:rFonts w:ascii="標楷體" w:eastAsia="標楷體" w:hAnsi="標楷體"/>
                <w:color w:val="000000" w:themeColor="text1"/>
                <w:u w:val="single"/>
              </w:rPr>
              <w:t>甲方</w:t>
            </w:r>
            <w:r w:rsidRPr="00CE3AE6">
              <w:rPr>
                <w:rFonts w:eastAsia="標楷體" w:hAnsi="標楷體" w:hint="eastAsia"/>
                <w:color w:val="000000" w:themeColor="text1"/>
                <w:u w:val="single"/>
              </w:rPr>
              <w:t>融券賣出</w:t>
            </w:r>
            <w:r w:rsidR="004534ED">
              <w:rPr>
                <w:rFonts w:eastAsia="標楷體" w:hAnsi="標楷體" w:hint="eastAsia"/>
                <w:color w:val="000000" w:themeColor="text1"/>
                <w:u w:val="single"/>
              </w:rPr>
              <w:t>前</w:t>
            </w:r>
            <w:r w:rsidRPr="00CE3AE6">
              <w:rPr>
                <w:rFonts w:eastAsia="標楷體" w:hAnsi="標楷體" w:hint="eastAsia"/>
                <w:color w:val="000000" w:themeColor="text1"/>
                <w:u w:val="single"/>
              </w:rPr>
              <w:t>，</w:t>
            </w:r>
            <w:r w:rsidR="0018427C" w:rsidRPr="00CE3AE6">
              <w:rPr>
                <w:rFonts w:eastAsia="標楷體" w:hAnsi="標楷體" w:hint="eastAsia"/>
                <w:color w:val="000000" w:themeColor="text1"/>
                <w:u w:val="single"/>
              </w:rPr>
              <w:t>由</w:t>
            </w:r>
            <w:r w:rsidR="0018427C" w:rsidRPr="00CE3AE6">
              <w:rPr>
                <w:rFonts w:ascii="標楷體" w:eastAsia="標楷體" w:hAnsi="標楷體"/>
                <w:color w:val="000000" w:themeColor="text1"/>
                <w:u w:val="single"/>
              </w:rPr>
              <w:t>乙方</w:t>
            </w:r>
            <w:r w:rsidR="0018427C" w:rsidRPr="00CE3AE6">
              <w:rPr>
                <w:rFonts w:ascii="標楷體" w:eastAsia="標楷體" w:hAnsi="標楷體" w:hint="eastAsia"/>
                <w:color w:val="000000" w:themeColor="text1"/>
                <w:u w:val="single"/>
              </w:rPr>
              <w:t>與</w:t>
            </w:r>
            <w:r w:rsidR="0018427C" w:rsidRPr="00CE3AE6">
              <w:rPr>
                <w:rFonts w:ascii="標楷體" w:eastAsia="標楷體" w:hAnsi="標楷體"/>
                <w:color w:val="000000" w:themeColor="text1"/>
                <w:u w:val="single"/>
              </w:rPr>
              <w:t>甲方</w:t>
            </w:r>
            <w:r w:rsidR="00500E2C">
              <w:rPr>
                <w:rFonts w:eastAsia="標楷體" w:hAnsi="標楷體" w:hint="eastAsia"/>
                <w:color w:val="000000" w:themeColor="text1"/>
                <w:u w:val="single"/>
              </w:rPr>
              <w:t>按</w:t>
            </w:r>
            <w:r w:rsidR="0018427C" w:rsidRPr="00CE3AE6">
              <w:rPr>
                <w:rFonts w:ascii="標楷體" w:eastAsia="標楷體" w:hAnsi="標楷體" w:hint="eastAsia"/>
                <w:color w:val="000000" w:themeColor="text1"/>
                <w:u w:val="single"/>
              </w:rPr>
              <w:t>年利率百分之二十以下，議定融券費費率及計算、收取方式。</w:t>
            </w:r>
            <w:r w:rsidR="000A0C31" w:rsidRPr="00CE3AE6">
              <w:rPr>
                <w:rFonts w:ascii="標楷體" w:eastAsia="標楷體" w:hAnsi="標楷體" w:hint="eastAsia"/>
                <w:color w:val="000000" w:themeColor="text1"/>
                <w:u w:val="single"/>
              </w:rPr>
              <w:t>乙方逐日計算擔保維持率時，得將融券費於甲方繳存之擔保品價值中扣除。</w:t>
            </w:r>
            <w:r w:rsidRPr="00CE3AE6">
              <w:rPr>
                <w:rFonts w:ascii="標楷體" w:eastAsia="標楷體" w:hAnsi="標楷體"/>
                <w:color w:val="000000" w:themeColor="text1"/>
                <w:u w:val="single"/>
              </w:rPr>
              <w:t>乙方</w:t>
            </w:r>
            <w:r w:rsidRPr="00CE3AE6">
              <w:rPr>
                <w:rFonts w:ascii="標楷體" w:eastAsia="標楷體" w:hAnsi="標楷體" w:hint="eastAsia"/>
                <w:color w:val="000000" w:themeColor="text1"/>
                <w:u w:val="single"/>
              </w:rPr>
              <w:t>因發生證券差額向證券金融事業轉融通所生</w:t>
            </w:r>
            <w:r w:rsidRPr="00CE3AE6">
              <w:rPr>
                <w:rFonts w:ascii="標楷體" w:eastAsia="標楷體" w:hAnsi="標楷體" w:cs="新細明體" w:hint="eastAsia"/>
                <w:color w:val="000000" w:themeColor="text1"/>
                <w:u w:val="single"/>
              </w:rPr>
              <w:t>之費用，由</w:t>
            </w:r>
            <w:r w:rsidRPr="00CE3AE6">
              <w:rPr>
                <w:rFonts w:ascii="標楷體" w:eastAsia="標楷體" w:hAnsi="標楷體"/>
                <w:color w:val="000000" w:themeColor="text1"/>
                <w:u w:val="single"/>
              </w:rPr>
              <w:t>乙方</w:t>
            </w:r>
            <w:r w:rsidRPr="00CE3AE6">
              <w:rPr>
                <w:rFonts w:ascii="標楷體" w:eastAsia="標楷體" w:hAnsi="標楷體" w:cs="新細明體" w:hint="eastAsia"/>
                <w:color w:val="000000" w:themeColor="text1"/>
                <w:u w:val="single"/>
              </w:rPr>
              <w:t>負</w:t>
            </w:r>
            <w:r w:rsidRPr="00CE3AE6">
              <w:rPr>
                <w:rFonts w:ascii="標楷體" w:eastAsia="標楷體" w:hAnsi="標楷體" w:cs="新細明體" w:hint="eastAsia"/>
                <w:color w:val="000000" w:themeColor="text1"/>
                <w:u w:val="single"/>
              </w:rPr>
              <w:lastRenderedPageBreak/>
              <w:t>擔。</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301D29" w:rsidRDefault="009813FD">
            <w:pPr>
              <w:pStyle w:val="HTML"/>
              <w:ind w:firstLineChars="197" w:firstLine="473"/>
              <w:jc w:val="both"/>
              <w:rPr>
                <w:rFonts w:ascii="標楷體" w:eastAsia="標楷體" w:hAnsi="標楷體"/>
                <w:color w:val="000000" w:themeColor="text1"/>
              </w:rPr>
            </w:pPr>
            <w:r w:rsidRPr="00CE3AE6">
              <w:rPr>
                <w:rFonts w:ascii="標楷體" w:eastAsia="標楷體" w:hAnsi="標楷體"/>
                <w:color w:val="000000" w:themeColor="text1"/>
                <w:u w:val="single"/>
              </w:rPr>
              <w:t>乙方</w:t>
            </w:r>
            <w:r w:rsidRPr="00CE3AE6">
              <w:rPr>
                <w:rFonts w:ascii="標楷體" w:eastAsia="標楷體" w:hAnsi="標楷體" w:hint="eastAsia"/>
                <w:color w:val="000000" w:themeColor="text1"/>
                <w:u w:val="single"/>
              </w:rPr>
              <w:t>得自</w:t>
            </w:r>
            <w:r w:rsidRPr="00CE3AE6">
              <w:rPr>
                <w:rFonts w:ascii="標楷體" w:eastAsia="標楷體" w:hAnsi="標楷體"/>
                <w:color w:val="000000" w:themeColor="text1"/>
                <w:u w:val="single"/>
              </w:rPr>
              <w:t>甲方</w:t>
            </w:r>
            <w:r w:rsidRPr="00CE3AE6">
              <w:rPr>
                <w:rFonts w:ascii="標楷體" w:eastAsia="標楷體" w:hAnsi="標楷體" w:hint="eastAsia"/>
                <w:color w:val="000000" w:themeColor="text1"/>
                <w:u w:val="single"/>
              </w:rPr>
              <w:t>違約日起至清償日止，依違約事由，按</w:t>
            </w:r>
            <w:r w:rsidR="00EB0FE7" w:rsidRPr="00CE3AE6">
              <w:rPr>
                <w:rFonts w:ascii="標楷體" w:eastAsia="標楷體" w:hAnsi="標楷體" w:hint="eastAsia"/>
                <w:color w:val="000000" w:themeColor="text1"/>
                <w:u w:val="single"/>
              </w:rPr>
              <w:t>應補差</w:t>
            </w:r>
            <w:r w:rsidRPr="00CE3AE6">
              <w:rPr>
                <w:rFonts w:ascii="標楷體" w:eastAsia="標楷體" w:hAnsi="標楷體" w:hint="eastAsia"/>
                <w:color w:val="000000" w:themeColor="text1"/>
                <w:u w:val="single"/>
              </w:rPr>
              <w:t>額乘</w:t>
            </w:r>
            <w:r w:rsidR="0018427C" w:rsidRPr="00CE3AE6">
              <w:rPr>
                <w:rFonts w:ascii="標楷體" w:eastAsia="標楷體" w:hAnsi="標楷體" w:hint="eastAsia"/>
                <w:color w:val="000000" w:themeColor="text1"/>
                <w:u w:val="single"/>
              </w:rPr>
              <w:t>以</w:t>
            </w:r>
            <w:r w:rsidRPr="00CE3AE6">
              <w:rPr>
                <w:rFonts w:ascii="標楷體" w:eastAsia="標楷體" w:hAnsi="標楷體" w:hint="eastAsia"/>
                <w:color w:val="000000" w:themeColor="text1"/>
              </w:rPr>
              <w:t>融資利率百分之十收取融資違約金</w:t>
            </w:r>
            <w:r w:rsidRPr="00CE3AE6">
              <w:rPr>
                <w:rFonts w:ascii="標楷體" w:eastAsia="標楷體" w:hAnsi="標楷體" w:hint="eastAsia"/>
                <w:color w:val="000000" w:themeColor="text1"/>
                <w:u w:val="single"/>
              </w:rPr>
              <w:t>，或按</w:t>
            </w:r>
            <w:r w:rsidR="00EF0540" w:rsidRPr="00CE3AE6">
              <w:rPr>
                <w:rFonts w:ascii="標楷體" w:eastAsia="標楷體" w:hAnsi="標楷體" w:hint="eastAsia"/>
                <w:color w:val="000000" w:themeColor="text1"/>
                <w:u w:val="single"/>
              </w:rPr>
              <w:t>應補差額</w:t>
            </w:r>
            <w:r w:rsidRPr="00CE3AE6">
              <w:rPr>
                <w:rFonts w:ascii="標楷體" w:eastAsia="標楷體" w:hAnsi="標楷體" w:hint="eastAsia"/>
                <w:color w:val="000000" w:themeColor="text1"/>
                <w:u w:val="single"/>
              </w:rPr>
              <w:t>乘</w:t>
            </w:r>
            <w:r w:rsidR="0046464F" w:rsidRPr="00CE3AE6">
              <w:rPr>
                <w:rFonts w:ascii="標楷體" w:eastAsia="標楷體" w:hAnsi="標楷體" w:hint="eastAsia"/>
                <w:color w:val="000000" w:themeColor="text1"/>
                <w:u w:val="single"/>
              </w:rPr>
              <w:t>以</w:t>
            </w:r>
            <w:r w:rsidRPr="00CE3AE6">
              <w:rPr>
                <w:rFonts w:ascii="標楷體" w:eastAsia="標楷體" w:hAnsi="標楷體" w:hint="eastAsia"/>
                <w:color w:val="000000" w:themeColor="text1"/>
                <w:u w:val="single"/>
              </w:rPr>
              <w:t>融券費</w:t>
            </w:r>
            <w:r w:rsidR="0018427C" w:rsidRPr="00CE3AE6">
              <w:rPr>
                <w:rFonts w:ascii="標楷體" w:eastAsia="標楷體" w:hAnsi="標楷體" w:hint="eastAsia"/>
                <w:color w:val="000000" w:themeColor="text1"/>
                <w:u w:val="single"/>
              </w:rPr>
              <w:t>費</w:t>
            </w:r>
            <w:r w:rsidRPr="00CE3AE6">
              <w:rPr>
                <w:rFonts w:ascii="標楷體" w:eastAsia="標楷體" w:hAnsi="標楷體" w:hint="eastAsia"/>
                <w:color w:val="000000" w:themeColor="text1"/>
                <w:u w:val="single"/>
              </w:rPr>
              <w:t>率百分之十</w:t>
            </w:r>
            <w:r w:rsidRPr="00CE3AE6">
              <w:rPr>
                <w:rFonts w:ascii="標楷體" w:eastAsia="標楷體" w:hAnsi="標楷體" w:hint="eastAsia"/>
                <w:color w:val="000000" w:themeColor="text1"/>
              </w:rPr>
              <w:t>收取</w:t>
            </w:r>
            <w:r w:rsidRPr="00CE3AE6">
              <w:rPr>
                <w:rFonts w:ascii="標楷體" w:eastAsia="標楷體" w:hAnsi="標楷體" w:hint="eastAsia"/>
                <w:color w:val="000000" w:themeColor="text1"/>
                <w:u w:val="single"/>
              </w:rPr>
              <w:t>融券違約金</w:t>
            </w:r>
            <w:r w:rsidRPr="00CE3AE6">
              <w:rPr>
                <w:rFonts w:ascii="標楷體" w:eastAsia="標楷體" w:hAnsi="標楷體" w:hint="eastAsia"/>
                <w:color w:val="000000" w:themeColor="text1"/>
              </w:rPr>
              <w:t>，或按所定之融券手續費率收取相當於一次手續費之融券違約金。</w:t>
            </w:r>
          </w:p>
        </w:tc>
        <w:tc>
          <w:tcPr>
            <w:tcW w:w="2787" w:type="dxa"/>
          </w:tcPr>
          <w:p w:rsidR="009813FD" w:rsidRPr="00CE3AE6" w:rsidRDefault="009813FD" w:rsidP="009813FD">
            <w:pPr>
              <w:pStyle w:val="HTML"/>
              <w:jc w:val="both"/>
              <w:rPr>
                <w:rFonts w:ascii="標楷體" w:eastAsia="標楷體" w:hAnsi="標楷體"/>
                <w:color w:val="000000" w:themeColor="text1"/>
              </w:rPr>
            </w:pPr>
            <w:r w:rsidRPr="00CE3AE6">
              <w:rPr>
                <w:rFonts w:ascii="標楷體" w:eastAsia="標楷體" w:hAnsi="標楷體" w:hint="eastAsia"/>
                <w:color w:val="000000" w:themeColor="text1"/>
              </w:rPr>
              <w:lastRenderedPageBreak/>
              <w:t xml:space="preserve">第十條  </w:t>
            </w: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4E4C01" w:rsidRPr="00CE3AE6" w:rsidRDefault="004E4C01"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firstLineChars="197" w:firstLine="473"/>
              <w:jc w:val="both"/>
              <w:rPr>
                <w:rFonts w:ascii="標楷體" w:eastAsia="標楷體" w:hAnsi="標楷體"/>
                <w:color w:val="000000" w:themeColor="text1"/>
              </w:rPr>
            </w:pPr>
            <w:r w:rsidRPr="00CE3AE6">
              <w:rPr>
                <w:rFonts w:ascii="標楷體" w:eastAsia="標楷體" w:hAnsi="標楷體" w:hint="eastAsia"/>
                <w:color w:val="000000" w:themeColor="text1"/>
              </w:rPr>
              <w:t>甲方逾期未償還融資融券者，乙方得自逾期之日起迄處分完畢日止，按</w:t>
            </w:r>
            <w:r w:rsidRPr="00CE3AE6">
              <w:rPr>
                <w:rFonts w:ascii="標楷體" w:eastAsia="標楷體" w:hAnsi="標楷體" w:hint="eastAsia"/>
                <w:color w:val="000000" w:themeColor="text1"/>
                <w:u w:val="single"/>
              </w:rPr>
              <w:t>所定</w:t>
            </w:r>
            <w:r w:rsidRPr="00CE3AE6">
              <w:rPr>
                <w:rFonts w:ascii="標楷體" w:eastAsia="標楷體" w:hAnsi="標楷體" w:hint="eastAsia"/>
                <w:color w:val="000000" w:themeColor="text1"/>
              </w:rPr>
              <w:t>融資利率百分之十收取融資違約金，或按所定之融券手續費率收取相當於一次手續費之融券違約金。</w:t>
            </w:r>
          </w:p>
          <w:p w:rsidR="009813FD" w:rsidRPr="00CE3AE6" w:rsidRDefault="009813FD" w:rsidP="00981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p>
        </w:tc>
        <w:tc>
          <w:tcPr>
            <w:tcW w:w="2788" w:type="dxa"/>
          </w:tcPr>
          <w:p w:rsidR="009813FD" w:rsidRPr="00CE3AE6" w:rsidRDefault="00F273F0" w:rsidP="00065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2"/>
              <w:jc w:val="both"/>
              <w:rPr>
                <w:rFonts w:ascii="標楷體" w:eastAsia="標楷體" w:hAnsi="標楷體"/>
                <w:color w:val="000000" w:themeColor="text1"/>
              </w:rPr>
            </w:pPr>
            <w:r w:rsidRPr="00CE3AE6">
              <w:rPr>
                <w:rFonts w:ascii="標楷體" w:eastAsia="標楷體" w:hAnsi="標楷體" w:hint="eastAsia"/>
                <w:color w:val="000000" w:themeColor="text1"/>
              </w:rPr>
              <w:lastRenderedPageBreak/>
              <w:t>增訂投資人</w:t>
            </w:r>
            <w:r w:rsidR="00900669" w:rsidRPr="00CE3AE6">
              <w:rPr>
                <w:rFonts w:ascii="標楷體" w:eastAsia="標楷體" w:hAnsi="標楷體" w:hint="eastAsia"/>
                <w:color w:val="000000" w:themeColor="text1"/>
              </w:rPr>
              <w:t>向證券商融資融券</w:t>
            </w:r>
            <w:r w:rsidR="000A0C31" w:rsidRPr="00CE3AE6">
              <w:rPr>
                <w:rFonts w:ascii="標楷體" w:eastAsia="標楷體" w:hAnsi="標楷體" w:hint="eastAsia"/>
                <w:color w:val="000000" w:themeColor="text1"/>
              </w:rPr>
              <w:t>時</w:t>
            </w:r>
            <w:r w:rsidR="00900669" w:rsidRPr="00CE3AE6">
              <w:rPr>
                <w:rFonts w:ascii="標楷體" w:eastAsia="標楷體" w:hAnsi="標楷體" w:hint="eastAsia"/>
                <w:color w:val="000000" w:themeColor="text1"/>
              </w:rPr>
              <w:t>，其應負擔及收取</w:t>
            </w:r>
            <w:r w:rsidR="000A0C31" w:rsidRPr="00CE3AE6">
              <w:rPr>
                <w:rFonts w:ascii="標楷體" w:eastAsia="標楷體" w:hAnsi="標楷體" w:hint="eastAsia"/>
                <w:color w:val="000000" w:themeColor="text1"/>
              </w:rPr>
              <w:t>之</w:t>
            </w:r>
            <w:r w:rsidR="00900669" w:rsidRPr="00CE3AE6">
              <w:rPr>
                <w:rFonts w:ascii="標楷體" w:eastAsia="標楷體" w:hAnsi="標楷體" w:hint="eastAsia"/>
                <w:color w:val="000000" w:themeColor="text1"/>
              </w:rPr>
              <w:t>利息</w:t>
            </w:r>
            <w:r w:rsidR="00110923" w:rsidRPr="00CE3AE6">
              <w:rPr>
                <w:rFonts w:ascii="標楷體" w:eastAsia="標楷體" w:hAnsi="標楷體" w:hint="eastAsia"/>
                <w:color w:val="000000" w:themeColor="text1"/>
              </w:rPr>
              <w:t>計算、</w:t>
            </w:r>
            <w:r w:rsidR="003124FF" w:rsidRPr="00CE3AE6">
              <w:rPr>
                <w:rFonts w:ascii="標楷體" w:eastAsia="標楷體" w:hAnsi="標楷體" w:hint="eastAsia"/>
                <w:color w:val="000000" w:themeColor="text1"/>
              </w:rPr>
              <w:t>融券費用計算、</w:t>
            </w:r>
            <w:r w:rsidR="00110923" w:rsidRPr="00CE3AE6">
              <w:rPr>
                <w:rFonts w:ascii="標楷體" w:eastAsia="標楷體" w:hAnsi="標楷體" w:cs="細明體" w:hint="eastAsia"/>
                <w:color w:val="000000" w:themeColor="text1"/>
                <w:kern w:val="0"/>
                <w:szCs w:val="24"/>
              </w:rPr>
              <w:t>標借、議借或標購費用分擔</w:t>
            </w:r>
            <w:r w:rsidR="0018427C" w:rsidRPr="00CE3AE6">
              <w:rPr>
                <w:rFonts w:ascii="標楷體" w:eastAsia="標楷體" w:hAnsi="標楷體" w:cs="細明體" w:hint="eastAsia"/>
                <w:color w:val="000000" w:themeColor="text1"/>
                <w:kern w:val="0"/>
                <w:szCs w:val="24"/>
              </w:rPr>
              <w:t>之方式</w:t>
            </w:r>
            <w:r w:rsidR="00900669" w:rsidRPr="00CE3AE6">
              <w:rPr>
                <w:rFonts w:ascii="標楷體" w:eastAsia="標楷體" w:hAnsi="標楷體" w:hint="eastAsia"/>
                <w:color w:val="000000" w:themeColor="text1"/>
              </w:rPr>
              <w:t>，</w:t>
            </w:r>
            <w:r w:rsidRPr="00CE3AE6">
              <w:rPr>
                <w:rFonts w:ascii="標楷體" w:eastAsia="標楷體" w:hAnsi="標楷體" w:hint="eastAsia"/>
                <w:color w:val="000000" w:themeColor="text1"/>
              </w:rPr>
              <w:t>俾使</w:t>
            </w:r>
            <w:r w:rsidR="00CF6ADA" w:rsidRPr="00CE3AE6">
              <w:rPr>
                <w:rFonts w:ascii="標楷體" w:eastAsia="標楷體" w:hAnsi="標楷體" w:hint="eastAsia"/>
                <w:color w:val="000000" w:themeColor="text1"/>
              </w:rPr>
              <w:t>投資人於簽約時</w:t>
            </w:r>
            <w:r w:rsidR="00065813">
              <w:rPr>
                <w:rFonts w:ascii="標楷體" w:eastAsia="標楷體" w:hAnsi="標楷體" w:hint="eastAsia"/>
                <w:color w:val="000000" w:themeColor="text1"/>
              </w:rPr>
              <w:t>，</w:t>
            </w:r>
            <w:r w:rsidRPr="00CE3AE6">
              <w:rPr>
                <w:rFonts w:ascii="標楷體" w:eastAsia="標楷體" w:hAnsi="標楷體" w:hint="eastAsia"/>
                <w:color w:val="000000" w:themeColor="text1"/>
              </w:rPr>
              <w:t>瞭解</w:t>
            </w:r>
            <w:r w:rsidR="004D7D37" w:rsidRPr="00CE3AE6">
              <w:rPr>
                <w:rFonts w:ascii="標楷體" w:eastAsia="標楷體" w:hAnsi="標楷體" w:hint="eastAsia"/>
                <w:color w:val="000000" w:themeColor="text1"/>
              </w:rPr>
              <w:t>應負擔或收取之</w:t>
            </w:r>
            <w:r w:rsidR="00237006" w:rsidRPr="00CE3AE6">
              <w:rPr>
                <w:rFonts w:ascii="標楷體" w:eastAsia="標楷體" w:hAnsi="標楷體" w:hint="eastAsia"/>
                <w:color w:val="000000" w:themeColor="text1"/>
              </w:rPr>
              <w:t>利息及費用</w:t>
            </w:r>
            <w:r w:rsidR="00CF6ADA" w:rsidRPr="00CE3AE6">
              <w:rPr>
                <w:rFonts w:ascii="標楷體" w:eastAsia="標楷體" w:hAnsi="標楷體" w:hint="eastAsia"/>
                <w:color w:val="000000" w:themeColor="text1"/>
              </w:rPr>
              <w:t>，並調整違約金之計算，爰新增第一項至第四</w:t>
            </w:r>
            <w:r w:rsidR="00CF6ADA" w:rsidRPr="00CE3AE6">
              <w:rPr>
                <w:rFonts w:ascii="標楷體" w:eastAsia="標楷體" w:hAnsi="標楷體" w:hint="eastAsia"/>
                <w:color w:val="000000" w:themeColor="text1"/>
              </w:rPr>
              <w:lastRenderedPageBreak/>
              <w:t>項規定，原第一項移至第五項</w:t>
            </w:r>
            <w:r w:rsidR="00065813">
              <w:rPr>
                <w:rFonts w:ascii="標楷體" w:eastAsia="標楷體" w:hAnsi="標楷體" w:hint="eastAsia"/>
                <w:color w:val="000000" w:themeColor="text1"/>
              </w:rPr>
              <w:t>，並酌予修正</w:t>
            </w:r>
            <w:r w:rsidR="00900669" w:rsidRPr="00CE3AE6">
              <w:rPr>
                <w:rFonts w:ascii="標楷體" w:eastAsia="標楷體" w:hAnsi="標楷體" w:hint="eastAsia"/>
                <w:color w:val="000000" w:themeColor="text1"/>
              </w:rPr>
              <w:t>。</w:t>
            </w:r>
          </w:p>
        </w:tc>
      </w:tr>
    </w:tbl>
    <w:p w:rsidR="001D26E9" w:rsidRPr="00CE3AE6" w:rsidRDefault="001D26E9" w:rsidP="00C8733F">
      <w:pPr>
        <w:jc w:val="both"/>
        <w:rPr>
          <w:rFonts w:ascii="標楷體" w:eastAsia="標楷體" w:hAnsi="標楷體"/>
          <w:color w:val="000000" w:themeColor="text1"/>
        </w:rPr>
      </w:pPr>
    </w:p>
    <w:sectPr w:rsidR="001D26E9" w:rsidRPr="00CE3AE6" w:rsidSect="00B76EE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04" w:rsidRDefault="00F67804" w:rsidP="0083611C">
      <w:pPr>
        <w:spacing w:line="240" w:lineRule="auto"/>
      </w:pPr>
      <w:r>
        <w:separator/>
      </w:r>
    </w:p>
  </w:endnote>
  <w:endnote w:type="continuationSeparator" w:id="0">
    <w:p w:rsidR="00F67804" w:rsidRDefault="00F67804" w:rsidP="008361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6522"/>
      <w:docPartObj>
        <w:docPartGallery w:val="Page Numbers (Bottom of Page)"/>
        <w:docPartUnique/>
      </w:docPartObj>
    </w:sdtPr>
    <w:sdtContent>
      <w:p w:rsidR="004D784E" w:rsidRDefault="0066398A">
        <w:pPr>
          <w:pStyle w:val="a5"/>
          <w:jc w:val="center"/>
        </w:pPr>
        <w:fldSimple w:instr=" PAGE   \* MERGEFORMAT ">
          <w:r w:rsidR="009865B6" w:rsidRPr="009865B6">
            <w:rPr>
              <w:noProof/>
              <w:lang w:val="zh-TW"/>
            </w:rPr>
            <w:t>5</w:t>
          </w:r>
        </w:fldSimple>
      </w:p>
    </w:sdtContent>
  </w:sdt>
  <w:p w:rsidR="004D784E" w:rsidRDefault="004D78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04" w:rsidRDefault="00F67804" w:rsidP="0083611C">
      <w:pPr>
        <w:spacing w:line="240" w:lineRule="auto"/>
      </w:pPr>
      <w:r>
        <w:separator/>
      </w:r>
    </w:p>
  </w:footnote>
  <w:footnote w:type="continuationSeparator" w:id="0">
    <w:p w:rsidR="00F67804" w:rsidRDefault="00F67804" w:rsidP="008361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F3FB9"/>
    <w:multiLevelType w:val="hybridMultilevel"/>
    <w:tmpl w:val="3AB817FA"/>
    <w:lvl w:ilvl="0" w:tplc="8EBE7014">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11C"/>
    <w:rsid w:val="0000744B"/>
    <w:rsid w:val="000129E9"/>
    <w:rsid w:val="00025289"/>
    <w:rsid w:val="000328EA"/>
    <w:rsid w:val="00041576"/>
    <w:rsid w:val="00041EB1"/>
    <w:rsid w:val="0004616E"/>
    <w:rsid w:val="000568D3"/>
    <w:rsid w:val="000613AE"/>
    <w:rsid w:val="00065813"/>
    <w:rsid w:val="00066CA9"/>
    <w:rsid w:val="00070643"/>
    <w:rsid w:val="00071070"/>
    <w:rsid w:val="000747D6"/>
    <w:rsid w:val="0007784D"/>
    <w:rsid w:val="00084403"/>
    <w:rsid w:val="00095FF9"/>
    <w:rsid w:val="00097E2E"/>
    <w:rsid w:val="000A0C31"/>
    <w:rsid w:val="000A6717"/>
    <w:rsid w:val="000B0D93"/>
    <w:rsid w:val="000C6DE2"/>
    <w:rsid w:val="000D0F55"/>
    <w:rsid w:val="000E2E68"/>
    <w:rsid w:val="000E359F"/>
    <w:rsid w:val="000F4AE0"/>
    <w:rsid w:val="00110923"/>
    <w:rsid w:val="00114019"/>
    <w:rsid w:val="00114979"/>
    <w:rsid w:val="0012722A"/>
    <w:rsid w:val="00145076"/>
    <w:rsid w:val="0018427C"/>
    <w:rsid w:val="00192182"/>
    <w:rsid w:val="001943E0"/>
    <w:rsid w:val="001A080B"/>
    <w:rsid w:val="001A3662"/>
    <w:rsid w:val="001B2A82"/>
    <w:rsid w:val="001C1AA8"/>
    <w:rsid w:val="001D26E9"/>
    <w:rsid w:val="002340E9"/>
    <w:rsid w:val="00237006"/>
    <w:rsid w:val="0025113E"/>
    <w:rsid w:val="00255B70"/>
    <w:rsid w:val="00264AFC"/>
    <w:rsid w:val="002735DB"/>
    <w:rsid w:val="00275F23"/>
    <w:rsid w:val="00277200"/>
    <w:rsid w:val="00295637"/>
    <w:rsid w:val="002A37AC"/>
    <w:rsid w:val="002A5F71"/>
    <w:rsid w:val="002C3C44"/>
    <w:rsid w:val="00301D29"/>
    <w:rsid w:val="00304976"/>
    <w:rsid w:val="003124FF"/>
    <w:rsid w:val="003271FC"/>
    <w:rsid w:val="003413B3"/>
    <w:rsid w:val="0034754C"/>
    <w:rsid w:val="00357A7E"/>
    <w:rsid w:val="00362DC1"/>
    <w:rsid w:val="00375DA5"/>
    <w:rsid w:val="0039559B"/>
    <w:rsid w:val="003A7FE8"/>
    <w:rsid w:val="003B2EC6"/>
    <w:rsid w:val="003C110B"/>
    <w:rsid w:val="003C6161"/>
    <w:rsid w:val="003E485C"/>
    <w:rsid w:val="003F069C"/>
    <w:rsid w:val="00417D72"/>
    <w:rsid w:val="0043286E"/>
    <w:rsid w:val="00441341"/>
    <w:rsid w:val="00443AC4"/>
    <w:rsid w:val="004534ED"/>
    <w:rsid w:val="0046464F"/>
    <w:rsid w:val="0046629E"/>
    <w:rsid w:val="00476E0E"/>
    <w:rsid w:val="00496396"/>
    <w:rsid w:val="004B1E00"/>
    <w:rsid w:val="004B2090"/>
    <w:rsid w:val="004B4B89"/>
    <w:rsid w:val="004D2F8B"/>
    <w:rsid w:val="004D784E"/>
    <w:rsid w:val="004D7D37"/>
    <w:rsid w:val="004E4C01"/>
    <w:rsid w:val="004F7974"/>
    <w:rsid w:val="00500E2C"/>
    <w:rsid w:val="00504162"/>
    <w:rsid w:val="00531E5F"/>
    <w:rsid w:val="005322D9"/>
    <w:rsid w:val="00532BED"/>
    <w:rsid w:val="00583DAA"/>
    <w:rsid w:val="00587C83"/>
    <w:rsid w:val="005A6299"/>
    <w:rsid w:val="005B1FA2"/>
    <w:rsid w:val="005B29E7"/>
    <w:rsid w:val="005C047F"/>
    <w:rsid w:val="005E1C66"/>
    <w:rsid w:val="005F2388"/>
    <w:rsid w:val="00612E96"/>
    <w:rsid w:val="00615430"/>
    <w:rsid w:val="0061578D"/>
    <w:rsid w:val="00617FA6"/>
    <w:rsid w:val="00633586"/>
    <w:rsid w:val="00635CD9"/>
    <w:rsid w:val="00650594"/>
    <w:rsid w:val="0066398A"/>
    <w:rsid w:val="006A7E00"/>
    <w:rsid w:val="006B392C"/>
    <w:rsid w:val="006F2BFA"/>
    <w:rsid w:val="006F3876"/>
    <w:rsid w:val="006F40A7"/>
    <w:rsid w:val="00716A13"/>
    <w:rsid w:val="007175EA"/>
    <w:rsid w:val="00724FED"/>
    <w:rsid w:val="007255D5"/>
    <w:rsid w:val="00727047"/>
    <w:rsid w:val="00753229"/>
    <w:rsid w:val="00757771"/>
    <w:rsid w:val="00760A6B"/>
    <w:rsid w:val="007610D1"/>
    <w:rsid w:val="00774052"/>
    <w:rsid w:val="00775B69"/>
    <w:rsid w:val="0079438B"/>
    <w:rsid w:val="007A0338"/>
    <w:rsid w:val="007A2860"/>
    <w:rsid w:val="007B0D5C"/>
    <w:rsid w:val="007B1021"/>
    <w:rsid w:val="007B383B"/>
    <w:rsid w:val="007C4D8B"/>
    <w:rsid w:val="007D0268"/>
    <w:rsid w:val="007D4CDB"/>
    <w:rsid w:val="007E6F36"/>
    <w:rsid w:val="00803845"/>
    <w:rsid w:val="008050FA"/>
    <w:rsid w:val="00806D51"/>
    <w:rsid w:val="008120A3"/>
    <w:rsid w:val="0081665F"/>
    <w:rsid w:val="008243FF"/>
    <w:rsid w:val="008277FF"/>
    <w:rsid w:val="0083611C"/>
    <w:rsid w:val="00846B6D"/>
    <w:rsid w:val="0085008D"/>
    <w:rsid w:val="00853E73"/>
    <w:rsid w:val="00861B99"/>
    <w:rsid w:val="0086603F"/>
    <w:rsid w:val="00875C4C"/>
    <w:rsid w:val="008B0269"/>
    <w:rsid w:val="008C0FCF"/>
    <w:rsid w:val="008D4518"/>
    <w:rsid w:val="008D7FCC"/>
    <w:rsid w:val="008E7EFB"/>
    <w:rsid w:val="00900669"/>
    <w:rsid w:val="00900AD5"/>
    <w:rsid w:val="0090410B"/>
    <w:rsid w:val="00906960"/>
    <w:rsid w:val="009078E9"/>
    <w:rsid w:val="0091007A"/>
    <w:rsid w:val="00920FDA"/>
    <w:rsid w:val="00944F9C"/>
    <w:rsid w:val="009813FD"/>
    <w:rsid w:val="00985341"/>
    <w:rsid w:val="009865B6"/>
    <w:rsid w:val="00993203"/>
    <w:rsid w:val="009A1E28"/>
    <w:rsid w:val="009B1FB2"/>
    <w:rsid w:val="009B3C67"/>
    <w:rsid w:val="009E5801"/>
    <w:rsid w:val="009E615D"/>
    <w:rsid w:val="009F717C"/>
    <w:rsid w:val="00A03FF4"/>
    <w:rsid w:val="00A12FED"/>
    <w:rsid w:val="00A13EEE"/>
    <w:rsid w:val="00A314A8"/>
    <w:rsid w:val="00A33D8A"/>
    <w:rsid w:val="00A44AFF"/>
    <w:rsid w:val="00A53166"/>
    <w:rsid w:val="00A713FB"/>
    <w:rsid w:val="00A755F8"/>
    <w:rsid w:val="00A9549D"/>
    <w:rsid w:val="00AB218A"/>
    <w:rsid w:val="00AB3255"/>
    <w:rsid w:val="00AC4F52"/>
    <w:rsid w:val="00AD2C9F"/>
    <w:rsid w:val="00AD43E2"/>
    <w:rsid w:val="00AE1E42"/>
    <w:rsid w:val="00AE449E"/>
    <w:rsid w:val="00AF1077"/>
    <w:rsid w:val="00B00553"/>
    <w:rsid w:val="00B15A40"/>
    <w:rsid w:val="00B51A54"/>
    <w:rsid w:val="00B54D9A"/>
    <w:rsid w:val="00B64415"/>
    <w:rsid w:val="00B70C35"/>
    <w:rsid w:val="00B76EE1"/>
    <w:rsid w:val="00B81F0D"/>
    <w:rsid w:val="00B8670E"/>
    <w:rsid w:val="00BC3D31"/>
    <w:rsid w:val="00C04631"/>
    <w:rsid w:val="00C16D5C"/>
    <w:rsid w:val="00C57804"/>
    <w:rsid w:val="00C62EE5"/>
    <w:rsid w:val="00C83996"/>
    <w:rsid w:val="00C8733F"/>
    <w:rsid w:val="00C8763E"/>
    <w:rsid w:val="00C948AC"/>
    <w:rsid w:val="00CA2020"/>
    <w:rsid w:val="00CA3371"/>
    <w:rsid w:val="00CD1062"/>
    <w:rsid w:val="00CE3AE6"/>
    <w:rsid w:val="00CF6ADA"/>
    <w:rsid w:val="00CF6B15"/>
    <w:rsid w:val="00CF7920"/>
    <w:rsid w:val="00D257E2"/>
    <w:rsid w:val="00D303E1"/>
    <w:rsid w:val="00D4038C"/>
    <w:rsid w:val="00D63B76"/>
    <w:rsid w:val="00D73E01"/>
    <w:rsid w:val="00D762D5"/>
    <w:rsid w:val="00D839DD"/>
    <w:rsid w:val="00DD16D6"/>
    <w:rsid w:val="00DF7114"/>
    <w:rsid w:val="00E0643C"/>
    <w:rsid w:val="00E3352F"/>
    <w:rsid w:val="00E33EBD"/>
    <w:rsid w:val="00E34762"/>
    <w:rsid w:val="00E4041D"/>
    <w:rsid w:val="00E52E3A"/>
    <w:rsid w:val="00E5346C"/>
    <w:rsid w:val="00E5500B"/>
    <w:rsid w:val="00E7344E"/>
    <w:rsid w:val="00E8255B"/>
    <w:rsid w:val="00E8784E"/>
    <w:rsid w:val="00E937D4"/>
    <w:rsid w:val="00EA4202"/>
    <w:rsid w:val="00EA46B8"/>
    <w:rsid w:val="00EA5012"/>
    <w:rsid w:val="00EB0FE7"/>
    <w:rsid w:val="00ED6C2B"/>
    <w:rsid w:val="00EE7E6D"/>
    <w:rsid w:val="00EF0540"/>
    <w:rsid w:val="00EF24F0"/>
    <w:rsid w:val="00F023B4"/>
    <w:rsid w:val="00F118BF"/>
    <w:rsid w:val="00F17124"/>
    <w:rsid w:val="00F17D23"/>
    <w:rsid w:val="00F273F0"/>
    <w:rsid w:val="00F2769C"/>
    <w:rsid w:val="00F460DC"/>
    <w:rsid w:val="00F46647"/>
    <w:rsid w:val="00F5020E"/>
    <w:rsid w:val="00F60752"/>
    <w:rsid w:val="00F67804"/>
    <w:rsid w:val="00F94E54"/>
    <w:rsid w:val="00FA5DFD"/>
    <w:rsid w:val="00FB16AE"/>
    <w:rsid w:val="00FC00EE"/>
    <w:rsid w:val="00FC4070"/>
    <w:rsid w:val="00FD2320"/>
    <w:rsid w:val="00FD2600"/>
    <w:rsid w:val="00FD7A7C"/>
    <w:rsid w:val="00FF7D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E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11C"/>
    <w:pPr>
      <w:tabs>
        <w:tab w:val="center" w:pos="4153"/>
        <w:tab w:val="right" w:pos="8306"/>
      </w:tabs>
      <w:snapToGrid w:val="0"/>
    </w:pPr>
    <w:rPr>
      <w:sz w:val="20"/>
      <w:szCs w:val="20"/>
    </w:rPr>
  </w:style>
  <w:style w:type="character" w:customStyle="1" w:styleId="a4">
    <w:name w:val="頁首 字元"/>
    <w:basedOn w:val="a0"/>
    <w:link w:val="a3"/>
    <w:uiPriority w:val="99"/>
    <w:semiHidden/>
    <w:rsid w:val="0083611C"/>
    <w:rPr>
      <w:sz w:val="20"/>
      <w:szCs w:val="20"/>
    </w:rPr>
  </w:style>
  <w:style w:type="paragraph" w:styleId="a5">
    <w:name w:val="footer"/>
    <w:basedOn w:val="a"/>
    <w:link w:val="a6"/>
    <w:uiPriority w:val="99"/>
    <w:unhideWhenUsed/>
    <w:rsid w:val="0083611C"/>
    <w:pPr>
      <w:tabs>
        <w:tab w:val="center" w:pos="4153"/>
        <w:tab w:val="right" w:pos="8306"/>
      </w:tabs>
      <w:snapToGrid w:val="0"/>
    </w:pPr>
    <w:rPr>
      <w:sz w:val="20"/>
      <w:szCs w:val="20"/>
    </w:rPr>
  </w:style>
  <w:style w:type="character" w:customStyle="1" w:styleId="a6">
    <w:name w:val="頁尾 字元"/>
    <w:basedOn w:val="a0"/>
    <w:link w:val="a5"/>
    <w:uiPriority w:val="99"/>
    <w:rsid w:val="0083611C"/>
    <w:rPr>
      <w:sz w:val="20"/>
      <w:szCs w:val="20"/>
    </w:rPr>
  </w:style>
  <w:style w:type="paragraph" w:styleId="a7">
    <w:name w:val="List Paragraph"/>
    <w:basedOn w:val="a"/>
    <w:uiPriority w:val="34"/>
    <w:qFormat/>
    <w:rsid w:val="0083611C"/>
    <w:pPr>
      <w:ind w:leftChars="200" w:left="480"/>
    </w:pPr>
  </w:style>
  <w:style w:type="table" w:styleId="a8">
    <w:name w:val="Table Grid"/>
    <w:basedOn w:val="a1"/>
    <w:uiPriority w:val="59"/>
    <w:rsid w:val="00A531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41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3413B3"/>
    <w:rPr>
      <w:rFonts w:ascii="細明體" w:eastAsia="細明體" w:hAnsi="細明體" w:cs="細明體"/>
      <w:kern w:val="0"/>
      <w:szCs w:val="24"/>
    </w:rPr>
  </w:style>
  <w:style w:type="paragraph" w:customStyle="1" w:styleId="Char">
    <w:name w:val="字元 字元 Char"/>
    <w:basedOn w:val="a"/>
    <w:rsid w:val="00906960"/>
    <w:pPr>
      <w:widowControl/>
      <w:spacing w:after="160" w:line="240" w:lineRule="exact"/>
    </w:pPr>
    <w:rPr>
      <w:rFonts w:ascii="Arial" w:eastAsia="Times New Roman" w:hAnsi="Arial" w:cs="Arial"/>
      <w:kern w:val="0"/>
      <w:sz w:val="20"/>
      <w:szCs w:val="20"/>
      <w:lang w:eastAsia="en-US"/>
    </w:rPr>
  </w:style>
  <w:style w:type="paragraph" w:customStyle="1" w:styleId="Char0">
    <w:name w:val="字元 字元 Char"/>
    <w:basedOn w:val="a"/>
    <w:rsid w:val="00E52E3A"/>
    <w:pPr>
      <w:widowControl/>
      <w:spacing w:after="160" w:line="240" w:lineRule="exact"/>
    </w:pPr>
    <w:rPr>
      <w:rFonts w:ascii="Arial" w:eastAsia="Times New Roman" w:hAnsi="Arial" w:cs="Arial"/>
      <w:kern w:val="0"/>
      <w:sz w:val="20"/>
      <w:szCs w:val="20"/>
      <w:lang w:eastAsia="en-US"/>
    </w:rPr>
  </w:style>
  <w:style w:type="paragraph" w:styleId="a9">
    <w:name w:val="Balloon Text"/>
    <w:basedOn w:val="a"/>
    <w:link w:val="aa"/>
    <w:uiPriority w:val="99"/>
    <w:semiHidden/>
    <w:unhideWhenUsed/>
    <w:rsid w:val="00FC00EE"/>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00EE"/>
    <w:rPr>
      <w:rFonts w:asciiTheme="majorHAnsi" w:eastAsiaTheme="majorEastAsia" w:hAnsiTheme="majorHAnsi" w:cstheme="majorBidi"/>
      <w:sz w:val="18"/>
      <w:szCs w:val="18"/>
    </w:rPr>
  </w:style>
  <w:style w:type="paragraph" w:customStyle="1" w:styleId="Char1">
    <w:name w:val="字元 字元 Char"/>
    <w:basedOn w:val="a"/>
    <w:rsid w:val="006B392C"/>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EEFDD-43B1-4855-B8AD-7E319E83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dcterms:created xsi:type="dcterms:W3CDTF">2016-01-04T07:57:00Z</dcterms:created>
  <dcterms:modified xsi:type="dcterms:W3CDTF">2016-01-27T07:09:00Z</dcterms:modified>
</cp:coreProperties>
</file>