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24" w:rsidRDefault="00AB5D7D" w:rsidP="008131B2">
      <w:pPr>
        <w:jc w:val="center"/>
        <w:rPr>
          <w:rFonts w:eastAsia="標楷體"/>
          <w:b/>
          <w:color w:val="000000"/>
          <w:sz w:val="36"/>
        </w:rPr>
      </w:pPr>
      <w:r w:rsidRPr="005F6BE2">
        <w:rPr>
          <w:rFonts w:eastAsia="標楷體"/>
          <w:b/>
          <w:bCs/>
          <w:color w:val="000000"/>
          <w:sz w:val="36"/>
        </w:rPr>
        <w:t>臺灣證券交易所股份有限公司</w:t>
      </w:r>
      <w:r>
        <w:rPr>
          <w:rFonts w:eastAsia="標楷體" w:hint="eastAsia"/>
          <w:b/>
          <w:bCs/>
          <w:color w:val="000000"/>
          <w:sz w:val="36"/>
        </w:rPr>
        <w:t>營業細則第</w:t>
      </w:r>
      <w:r w:rsidR="00927CB2">
        <w:rPr>
          <w:rFonts w:eastAsia="標楷體" w:hint="eastAsia"/>
          <w:b/>
          <w:bCs/>
          <w:color w:val="000000"/>
          <w:sz w:val="36"/>
        </w:rPr>
        <w:t>七十七</w:t>
      </w:r>
      <w:r>
        <w:rPr>
          <w:rFonts w:eastAsia="標楷體" w:hint="eastAsia"/>
          <w:b/>
          <w:bCs/>
          <w:color w:val="000000"/>
          <w:sz w:val="36"/>
        </w:rPr>
        <w:t>條之</w:t>
      </w:r>
      <w:r w:rsidR="00927CB2">
        <w:rPr>
          <w:rFonts w:eastAsia="標楷體" w:hint="eastAsia"/>
          <w:b/>
          <w:bCs/>
          <w:color w:val="000000"/>
          <w:sz w:val="36"/>
        </w:rPr>
        <w:t>二</w:t>
      </w:r>
      <w:r w:rsidRPr="005F6BE2">
        <w:rPr>
          <w:rFonts w:eastAsia="標楷體"/>
          <w:b/>
          <w:color w:val="000000"/>
          <w:sz w:val="36"/>
        </w:rPr>
        <w:t>修正條文對照表</w:t>
      </w:r>
    </w:p>
    <w:tbl>
      <w:tblPr>
        <w:tblStyle w:val="a3"/>
        <w:tblW w:w="11092" w:type="dxa"/>
        <w:jc w:val="center"/>
        <w:tblInd w:w="-1385" w:type="dxa"/>
        <w:tblLook w:val="04A0"/>
      </w:tblPr>
      <w:tblGrid>
        <w:gridCol w:w="4180"/>
        <w:gridCol w:w="4077"/>
        <w:gridCol w:w="2835"/>
      </w:tblGrid>
      <w:tr w:rsidR="00AB5D7D" w:rsidTr="007B70E5">
        <w:trPr>
          <w:jc w:val="center"/>
        </w:trPr>
        <w:tc>
          <w:tcPr>
            <w:tcW w:w="4180" w:type="dxa"/>
            <w:vAlign w:val="center"/>
          </w:tcPr>
          <w:p w:rsidR="00AB5D7D" w:rsidRPr="005F6BE2" w:rsidRDefault="00AB5D7D" w:rsidP="00E04A72">
            <w:pPr>
              <w:spacing w:line="42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修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正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條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文</w:t>
            </w:r>
          </w:p>
        </w:tc>
        <w:tc>
          <w:tcPr>
            <w:tcW w:w="4077" w:type="dxa"/>
            <w:vAlign w:val="center"/>
          </w:tcPr>
          <w:p w:rsidR="00AB5D7D" w:rsidRPr="005F6BE2" w:rsidRDefault="00AB5D7D" w:rsidP="00E04A72">
            <w:pPr>
              <w:spacing w:line="42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現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行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條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文</w:t>
            </w:r>
          </w:p>
        </w:tc>
        <w:tc>
          <w:tcPr>
            <w:tcW w:w="2835" w:type="dxa"/>
            <w:vAlign w:val="center"/>
          </w:tcPr>
          <w:p w:rsidR="00AB5D7D" w:rsidRPr="005F6BE2" w:rsidRDefault="00AB5D7D" w:rsidP="00E04A72">
            <w:pPr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說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 xml:space="preserve">  </w:t>
            </w:r>
            <w:r w:rsidRPr="005F6BE2">
              <w:rPr>
                <w:rFonts w:eastAsia="標楷體"/>
                <w:b/>
                <w:bCs/>
                <w:color w:val="000000"/>
                <w:sz w:val="28"/>
              </w:rPr>
              <w:t>明</w:t>
            </w:r>
          </w:p>
        </w:tc>
      </w:tr>
      <w:tr w:rsidR="00AB5D7D" w:rsidTr="007B70E5">
        <w:trPr>
          <w:jc w:val="center"/>
        </w:trPr>
        <w:tc>
          <w:tcPr>
            <w:tcW w:w="4180" w:type="dxa"/>
          </w:tcPr>
          <w:p w:rsidR="007D2B6D" w:rsidRDefault="00E2154E" w:rsidP="00B638EE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第七十七條之二</w:t>
            </w:r>
          </w:p>
          <w:p w:rsidR="00AB5D7D" w:rsidRPr="00AB5D7D" w:rsidRDefault="00B638EE" w:rsidP="00B638EE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大陸地區人民</w:t>
            </w:r>
            <w:r w:rsidRPr="00C4445C">
              <w:rPr>
                <w:rFonts w:ascii="標楷體" w:eastAsia="標楷體" w:hAnsi="標楷體" w:hint="eastAsia"/>
                <w:sz w:val="28"/>
                <w:u w:val="single"/>
              </w:rPr>
              <w:t>、法人、團體或其他機構</w:t>
            </w:r>
            <w:r w:rsidR="00C4445C" w:rsidRPr="00C4445C">
              <w:rPr>
                <w:rFonts w:ascii="標楷體" w:eastAsia="標楷體" w:hAnsi="標楷體" w:hint="eastAsia"/>
                <w:sz w:val="28"/>
                <w:u w:val="single"/>
              </w:rPr>
              <w:t>，</w:t>
            </w:r>
            <w:r w:rsidR="00C4445C" w:rsidRPr="00AB5D7D">
              <w:rPr>
                <w:rFonts w:ascii="標楷體" w:eastAsia="標楷體" w:hAnsi="標楷體" w:hint="eastAsia"/>
                <w:sz w:val="28"/>
                <w:u w:val="single"/>
              </w:rPr>
              <w:t>因贈與或繼承取得</w:t>
            </w:r>
            <w:r w:rsidR="00CB774B">
              <w:rPr>
                <w:rFonts w:ascii="標楷體" w:eastAsia="標楷體" w:hAnsi="標楷體" w:hint="eastAsia"/>
                <w:sz w:val="28"/>
                <w:u w:val="single"/>
              </w:rPr>
              <w:t>上市</w:t>
            </w:r>
            <w:r w:rsidR="00C4445C" w:rsidRPr="00AB5D7D">
              <w:rPr>
                <w:rFonts w:ascii="標楷體" w:eastAsia="標楷體" w:hAnsi="標楷體" w:hint="eastAsia"/>
                <w:sz w:val="28"/>
                <w:u w:val="single"/>
              </w:rPr>
              <w:t>有價證券</w:t>
            </w:r>
            <w:r w:rsidR="00C4445C" w:rsidRPr="00B638EE">
              <w:rPr>
                <w:rFonts w:ascii="標楷體" w:eastAsia="標楷體" w:hAnsi="標楷體" w:hint="eastAsia"/>
                <w:sz w:val="28"/>
                <w:u w:val="single"/>
              </w:rPr>
              <w:t>，</w:t>
            </w:r>
            <w:r w:rsidR="003B655D">
              <w:rPr>
                <w:rFonts w:ascii="標楷體" w:eastAsia="標楷體" w:hAnsi="標楷體" w:hint="eastAsia"/>
                <w:sz w:val="28"/>
                <w:u w:val="single"/>
              </w:rPr>
              <w:t>應檢附下列文件</w:t>
            </w:r>
            <w:r w:rsidR="00CB774B">
              <w:rPr>
                <w:rFonts w:ascii="標楷體" w:eastAsia="標楷體" w:hAnsi="標楷體" w:hint="eastAsia"/>
                <w:sz w:val="28"/>
                <w:u w:val="single"/>
              </w:rPr>
              <w:t>向證券經紀商</w:t>
            </w:r>
            <w:r w:rsidR="003B655D" w:rsidRPr="00C4445C">
              <w:rPr>
                <w:rFonts w:ascii="標楷體" w:eastAsia="標楷體" w:hAnsi="標楷體" w:hint="eastAsia"/>
                <w:sz w:val="28"/>
                <w:u w:val="single"/>
              </w:rPr>
              <w:t>辦理</w:t>
            </w:r>
            <w:r w:rsidR="00FC7DD8">
              <w:rPr>
                <w:rFonts w:ascii="標楷體" w:eastAsia="標楷體" w:hAnsi="標楷體" w:hint="eastAsia"/>
                <w:sz w:val="28"/>
                <w:u w:val="single"/>
              </w:rPr>
              <w:t>開戶</w:t>
            </w:r>
            <w:r w:rsidR="003B655D" w:rsidRPr="00AB5D7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4445C" w:rsidRPr="002B2A6E" w:rsidRDefault="00AB5D7D" w:rsidP="00C4445C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2B2A6E">
              <w:rPr>
                <w:rFonts w:ascii="標楷體" w:eastAsia="標楷體" w:hAnsi="標楷體" w:hint="eastAsia"/>
                <w:sz w:val="28"/>
              </w:rPr>
              <w:t>一、經</w:t>
            </w:r>
            <w:proofErr w:type="gramStart"/>
            <w:r w:rsidRPr="002B2A6E">
              <w:rPr>
                <w:rFonts w:ascii="標楷體" w:eastAsia="標楷體" w:hAnsi="標楷體" w:hint="eastAsia"/>
                <w:sz w:val="28"/>
              </w:rPr>
              <w:t>稽</w:t>
            </w:r>
            <w:proofErr w:type="gramEnd"/>
            <w:r w:rsidRPr="002B2A6E">
              <w:rPr>
                <w:rFonts w:ascii="標楷體" w:eastAsia="標楷體" w:hAnsi="標楷體" w:hint="eastAsia"/>
                <w:sz w:val="28"/>
              </w:rPr>
              <w:t>徵機關核發遺產稅或贈與稅</w:t>
            </w:r>
            <w:r w:rsidR="00B638EE" w:rsidRPr="002B2A6E">
              <w:rPr>
                <w:rFonts w:ascii="標楷體" w:eastAsia="標楷體" w:hAnsi="標楷體" w:hint="eastAsia"/>
                <w:sz w:val="28"/>
              </w:rPr>
              <w:t>之繳清證明書或其他證明書件，及稅捐機關規定之所得申報納稅代理書</w:t>
            </w:r>
            <w:r w:rsidR="00C4445C" w:rsidRPr="002B2A6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4445C" w:rsidRDefault="00C4445C" w:rsidP="00C4445C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C4445C">
              <w:rPr>
                <w:rFonts w:ascii="標楷體" w:eastAsia="標楷體" w:hAnsi="標楷體" w:hint="eastAsia"/>
                <w:sz w:val="28"/>
                <w:u w:val="single"/>
              </w:rPr>
              <w:t>二、</w:t>
            </w:r>
            <w:r w:rsidR="00B638EE">
              <w:rPr>
                <w:rFonts w:ascii="標楷體" w:eastAsia="標楷體" w:hAnsi="標楷體" w:hint="eastAsia"/>
                <w:sz w:val="28"/>
                <w:u w:val="single"/>
              </w:rPr>
              <w:t>自然人</w:t>
            </w:r>
            <w:r w:rsidR="00052775">
              <w:rPr>
                <w:rFonts w:ascii="標楷體" w:eastAsia="標楷體" w:hAnsi="標楷體" w:hint="eastAsia"/>
                <w:sz w:val="28"/>
                <w:u w:val="single"/>
              </w:rPr>
              <w:t>之</w:t>
            </w:r>
            <w:r w:rsidR="00B638EE" w:rsidRPr="00B638EE">
              <w:rPr>
                <w:rFonts w:ascii="標楷體" w:eastAsia="標楷體" w:hAnsi="標楷體" w:hint="eastAsia"/>
                <w:sz w:val="28"/>
                <w:u w:val="single"/>
              </w:rPr>
              <w:t>身分證明及經許可進入臺灣之證明文件</w:t>
            </w:r>
            <w:r w:rsidR="00B638EE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AB5D7D" w:rsidRDefault="00C4445C" w:rsidP="00F147F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C4445C">
              <w:rPr>
                <w:rFonts w:ascii="標楷體" w:eastAsia="標楷體" w:hAnsi="標楷體" w:hint="eastAsia"/>
                <w:sz w:val="28"/>
                <w:u w:val="single"/>
              </w:rPr>
              <w:t>三、</w:t>
            </w:r>
            <w:r w:rsidR="00A519C8" w:rsidRPr="00AB5D7D">
              <w:rPr>
                <w:rFonts w:ascii="標楷體" w:eastAsia="標楷體" w:hAnsi="標楷體" w:hint="eastAsia"/>
                <w:sz w:val="28"/>
                <w:u w:val="single"/>
              </w:rPr>
              <w:t>法人、團體</w:t>
            </w:r>
            <w:r w:rsidR="00A519C8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A519C8" w:rsidRPr="00AB5D7D">
              <w:rPr>
                <w:rFonts w:ascii="標楷體" w:eastAsia="標楷體" w:hAnsi="標楷體" w:hint="eastAsia"/>
                <w:sz w:val="28"/>
                <w:u w:val="single"/>
              </w:rPr>
              <w:t>其他機構之</w:t>
            </w:r>
            <w:r w:rsidR="00A519C8">
              <w:rPr>
                <w:rFonts w:ascii="標楷體" w:eastAsia="標楷體" w:hAnsi="標楷體" w:hint="eastAsia"/>
                <w:sz w:val="28"/>
                <w:u w:val="single"/>
              </w:rPr>
              <w:t>登記</w:t>
            </w:r>
            <w:r w:rsidR="00A519C8" w:rsidRPr="00AB5D7D">
              <w:rPr>
                <w:rFonts w:ascii="標楷體" w:eastAsia="標楷體" w:hAnsi="標楷體" w:hint="eastAsia"/>
                <w:sz w:val="28"/>
                <w:u w:val="single"/>
              </w:rPr>
              <w:t>證明文件，係指由當地政府所核發之法人或團體資格證明書、登記證明文件等</w:t>
            </w:r>
            <w:r w:rsidR="00A519C8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C4797C" w:rsidRDefault="00C4797C" w:rsidP="00F147F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E2154E" w:rsidRPr="00483DC6" w:rsidRDefault="00E2154E" w:rsidP="00E2154E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  <w:r w:rsidRPr="00483DC6">
              <w:rPr>
                <w:rFonts w:ascii="標楷體" w:eastAsia="標楷體" w:hAnsi="標楷體" w:hint="eastAsia"/>
                <w:sz w:val="28"/>
                <w:u w:val="single"/>
              </w:rPr>
              <w:t>大陸地區人民、法人、團體、其他機構</w:t>
            </w:r>
            <w:r w:rsidR="00814CE0">
              <w:rPr>
                <w:rFonts w:ascii="標楷體" w:eastAsia="標楷體" w:hAnsi="標楷體" w:hint="eastAsia"/>
                <w:sz w:val="28"/>
                <w:u w:val="single"/>
              </w:rPr>
              <w:t>或其於第三地區投資之外國法人，經經濟部投資審議委員會專案核准</w:t>
            </w:r>
            <w:r w:rsidR="00CB774B">
              <w:rPr>
                <w:rFonts w:ascii="標楷體" w:eastAsia="標楷體" w:hAnsi="標楷體" w:hint="eastAsia"/>
                <w:sz w:val="28"/>
                <w:u w:val="single"/>
              </w:rPr>
              <w:t>投資上市公司</w:t>
            </w:r>
            <w:r w:rsidRPr="00483DC6">
              <w:rPr>
                <w:rFonts w:ascii="標楷體" w:eastAsia="標楷體" w:hAnsi="標楷體" w:hint="eastAsia"/>
                <w:sz w:val="28"/>
                <w:u w:val="single"/>
              </w:rPr>
              <w:t>者，應檢附下列文件</w:t>
            </w:r>
            <w:r w:rsidR="00CB774B">
              <w:rPr>
                <w:rFonts w:ascii="標楷體" w:eastAsia="標楷體" w:hAnsi="標楷體" w:hint="eastAsia"/>
                <w:sz w:val="28"/>
                <w:u w:val="single"/>
              </w:rPr>
              <w:t>向證券經紀商</w:t>
            </w:r>
            <w:r w:rsidRPr="00483DC6">
              <w:rPr>
                <w:rFonts w:ascii="標楷體" w:eastAsia="標楷體" w:hAnsi="標楷體" w:hint="eastAsia"/>
                <w:sz w:val="28"/>
                <w:u w:val="single"/>
              </w:rPr>
              <w:t>辦理開戶：</w:t>
            </w:r>
          </w:p>
          <w:p w:rsidR="00E2154E" w:rsidRPr="00483DC6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483DC6">
              <w:rPr>
                <w:rFonts w:ascii="標楷體" w:eastAsia="標楷體" w:hAnsi="標楷體" w:hint="eastAsia"/>
                <w:sz w:val="28"/>
                <w:u w:val="single"/>
              </w:rPr>
              <w:t>一、核准賣出文件影本及稅捐機關規定之所得申報納稅代理書。</w:t>
            </w:r>
          </w:p>
          <w:p w:rsidR="00E2154E" w:rsidRPr="00483DC6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483DC6">
              <w:rPr>
                <w:rFonts w:ascii="標楷體" w:eastAsia="標楷體" w:hAnsi="標楷體" w:hint="eastAsia"/>
                <w:sz w:val="28"/>
                <w:u w:val="single"/>
              </w:rPr>
              <w:t>二、自然人之身分證明及經許可進入臺灣之證明文件。</w:t>
            </w:r>
          </w:p>
          <w:p w:rsidR="00E2154E" w:rsidRPr="00041778" w:rsidRDefault="00814CE0" w:rsidP="00041778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三、法人、團體、其他機構或其於第三地區投資之外國法人之資格證明文件（須</w:t>
            </w:r>
            <w:r w:rsidR="00E2154E" w:rsidRPr="00483DC6">
              <w:rPr>
                <w:rFonts w:ascii="標楷體" w:eastAsia="標楷體" w:hAnsi="標楷體" w:hint="eastAsia"/>
                <w:sz w:val="28"/>
                <w:u w:val="single"/>
              </w:rPr>
              <w:t>依經濟</w:t>
            </w:r>
            <w:r w:rsidR="00E2154E" w:rsidRPr="00483DC6">
              <w:rPr>
                <w:rFonts w:ascii="標楷體" w:eastAsia="標楷體" w:hAnsi="標楷體" w:hint="eastAsia"/>
                <w:sz w:val="28"/>
                <w:u w:val="single"/>
              </w:rPr>
              <w:lastRenderedPageBreak/>
              <w:t>部投資審議委員會大陸地區人民來</w:t>
            </w:r>
            <w:proofErr w:type="gramStart"/>
            <w:r w:rsidR="00E2154E" w:rsidRPr="00483DC6">
              <w:rPr>
                <w:rFonts w:ascii="標楷體" w:eastAsia="標楷體" w:hAnsi="標楷體" w:hint="eastAsia"/>
                <w:sz w:val="28"/>
                <w:u w:val="single"/>
              </w:rPr>
              <w:t>臺</w:t>
            </w:r>
            <w:proofErr w:type="gramEnd"/>
            <w:r w:rsidR="00E2154E" w:rsidRPr="00483DC6">
              <w:rPr>
                <w:rFonts w:ascii="標楷體" w:eastAsia="標楷體" w:hAnsi="標楷體" w:hint="eastAsia"/>
                <w:sz w:val="28"/>
                <w:u w:val="single"/>
              </w:rPr>
              <w:t>投資申請應檢附文件規定辦理</w:t>
            </w:r>
            <w:r w:rsidR="009B52F2">
              <w:rPr>
                <w:rFonts w:ascii="標楷體" w:eastAsia="標楷體" w:hAnsi="標楷體" w:hint="eastAsia"/>
                <w:sz w:val="28"/>
                <w:u w:val="single"/>
              </w:rPr>
              <w:t>公</w:t>
            </w:r>
            <w:r w:rsidR="00041778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9B52F2">
              <w:rPr>
                <w:rFonts w:ascii="標楷體" w:eastAsia="標楷體" w:hAnsi="標楷體" w:hint="eastAsia"/>
                <w:sz w:val="28"/>
                <w:u w:val="single"/>
              </w:rPr>
              <w:t>認</w:t>
            </w:r>
            <w:r w:rsidR="00041778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Pr="00041778">
              <w:rPr>
                <w:rFonts w:ascii="標楷體" w:eastAsia="標楷體" w:hAnsi="標楷體" w:hint="eastAsia"/>
                <w:sz w:val="28"/>
                <w:u w:val="single"/>
              </w:rPr>
              <w:t>驗證）</w:t>
            </w:r>
            <w:r w:rsidR="00E2154E" w:rsidRPr="00041778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CF7B17" w:rsidRDefault="00CF7B17" w:rsidP="00E2089A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  <w:p w:rsidR="00E2154E" w:rsidRPr="00E2089A" w:rsidRDefault="00E2154E" w:rsidP="00E2089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2089A">
              <w:rPr>
                <w:rFonts w:ascii="標楷體" w:eastAsia="標楷體" w:hAnsi="標楷體" w:hint="eastAsia"/>
                <w:sz w:val="28"/>
                <w:u w:val="single"/>
              </w:rPr>
              <w:t>前二項委託人委由代理人辦理開戶時，依下列規定辦理：</w:t>
            </w:r>
          </w:p>
          <w:p w:rsidR="00E2154E" w:rsidRPr="000D56A2" w:rsidRDefault="00E2154E" w:rsidP="00E2154E">
            <w:pPr>
              <w:pStyle w:val="a4"/>
              <w:spacing w:line="400" w:lineRule="exact"/>
              <w:ind w:leftChars="14" w:left="594" w:hangingChars="200" w:hanging="560"/>
              <w:rPr>
                <w:rFonts w:ascii="標楷體" w:eastAsia="標楷體" w:hAnsi="標楷體"/>
                <w:sz w:val="28"/>
              </w:rPr>
            </w:pPr>
            <w:r w:rsidRPr="00052775">
              <w:rPr>
                <w:rFonts w:ascii="標楷體" w:eastAsia="標楷體" w:hAnsi="標楷體" w:hint="eastAsia"/>
                <w:sz w:val="28"/>
                <w:u w:val="single"/>
              </w:rPr>
              <w:t>一、委託人為自然人者</w:t>
            </w:r>
            <w:r w:rsidRPr="005E1658">
              <w:rPr>
                <w:rFonts w:ascii="標楷體" w:eastAsia="標楷體" w:hAnsi="標楷體" w:hint="eastAsia"/>
                <w:sz w:val="28"/>
              </w:rPr>
              <w:t>，</w:t>
            </w:r>
            <w:r w:rsidRPr="000D56A2">
              <w:rPr>
                <w:rFonts w:ascii="標楷體" w:eastAsia="標楷體" w:hAnsi="標楷體" w:hint="eastAsia"/>
                <w:sz w:val="28"/>
              </w:rPr>
              <w:t>應由代理人親持本人與委託人之身分證明、委任授權書（須經大陸地區公證處公證及財團法人海峽交流基金會驗證）及</w:t>
            </w:r>
            <w:r w:rsidRPr="00052775">
              <w:rPr>
                <w:rFonts w:ascii="標楷體" w:eastAsia="標楷體" w:hAnsi="標楷體" w:hint="eastAsia"/>
                <w:sz w:val="28"/>
              </w:rPr>
              <w:t>前</w:t>
            </w:r>
            <w:r w:rsidRPr="00052775">
              <w:rPr>
                <w:rFonts w:ascii="標楷體" w:eastAsia="標楷體" w:hAnsi="標楷體" w:hint="eastAsia"/>
                <w:sz w:val="28"/>
                <w:u w:val="single"/>
              </w:rPr>
              <w:t>二項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0D56A2">
              <w:rPr>
                <w:rFonts w:ascii="標楷體" w:eastAsia="標楷體" w:hAnsi="標楷體" w:hint="eastAsia"/>
                <w:sz w:val="28"/>
              </w:rPr>
              <w:t>相關文件。</w:t>
            </w:r>
          </w:p>
          <w:p w:rsidR="00E2154E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二、委託人</w:t>
            </w:r>
            <w:r w:rsidR="00814CE0">
              <w:rPr>
                <w:rFonts w:ascii="標楷體" w:eastAsia="標楷體" w:hAnsi="標楷體" w:hint="eastAsia"/>
                <w:sz w:val="28"/>
                <w:u w:val="single"/>
              </w:rPr>
              <w:t>為法人、團體、其他機構或其於第三地區投資之外國法人者，應由代理人親持本人</w:t>
            </w:r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之身分證明文件、委任授權書（</w:t>
            </w:r>
            <w:r w:rsidR="00814CE0">
              <w:rPr>
                <w:rFonts w:ascii="標楷體" w:eastAsia="標楷體" w:hAnsi="標楷體" w:hint="eastAsia"/>
                <w:sz w:val="28"/>
                <w:u w:val="single"/>
              </w:rPr>
              <w:t>須</w:t>
            </w:r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依經濟部投資審議委員會規定大陸地區人民來</w:t>
            </w:r>
            <w:proofErr w:type="gramStart"/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臺</w:t>
            </w:r>
            <w:proofErr w:type="gramEnd"/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投資申請應檢附文件規定辦理</w:t>
            </w:r>
            <w:r w:rsidR="00814CE0">
              <w:rPr>
                <w:rFonts w:ascii="標楷體" w:eastAsia="標楷體" w:hAnsi="標楷體" w:hint="eastAsia"/>
                <w:sz w:val="28"/>
                <w:u w:val="single"/>
              </w:rPr>
              <w:t>公</w:t>
            </w:r>
            <w:r w:rsidR="00041778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AE4C4C">
              <w:rPr>
                <w:rFonts w:ascii="標楷體" w:eastAsia="標楷體" w:hAnsi="標楷體" w:hint="eastAsia"/>
                <w:sz w:val="28"/>
                <w:u w:val="single"/>
              </w:rPr>
              <w:t>認</w:t>
            </w:r>
            <w:r w:rsidR="00041778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 w:rsidR="00814CE0">
              <w:rPr>
                <w:rFonts w:ascii="標楷體" w:eastAsia="標楷體" w:hAnsi="標楷體" w:hint="eastAsia"/>
                <w:sz w:val="28"/>
                <w:u w:val="single"/>
              </w:rPr>
              <w:t>驗證</w:t>
            </w:r>
            <w:r w:rsidRPr="00E10FC7">
              <w:rPr>
                <w:rFonts w:ascii="標楷體" w:eastAsia="標楷體" w:hAnsi="標楷體" w:hint="eastAsia"/>
                <w:sz w:val="28"/>
                <w:u w:val="single"/>
              </w:rPr>
              <w:t>）及前二項之相關文件。</w:t>
            </w:r>
          </w:p>
          <w:p w:rsidR="00C4797C" w:rsidRDefault="00C4797C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807DAF" w:rsidRPr="00E2089A" w:rsidRDefault="00E2154E" w:rsidP="00E2089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2089A">
              <w:rPr>
                <w:rFonts w:ascii="標楷體" w:eastAsia="標楷體" w:hAnsi="標楷體" w:hint="eastAsia"/>
                <w:sz w:val="28"/>
              </w:rPr>
              <w:t>依</w:t>
            </w:r>
            <w:r w:rsidRPr="00515F04">
              <w:rPr>
                <w:rFonts w:ascii="標楷體" w:eastAsia="標楷體" w:hAnsi="標楷體" w:hint="eastAsia"/>
                <w:sz w:val="28"/>
              </w:rPr>
              <w:t>前</w:t>
            </w:r>
            <w:r w:rsidRPr="00E2089A">
              <w:rPr>
                <w:rFonts w:ascii="標楷體" w:eastAsia="標楷體" w:hAnsi="標楷體" w:hint="eastAsia"/>
                <w:sz w:val="28"/>
                <w:u w:val="single"/>
              </w:rPr>
              <w:t>項第一</w:t>
            </w:r>
            <w:r w:rsidRPr="00515F04">
              <w:rPr>
                <w:rFonts w:ascii="標楷體" w:eastAsia="標楷體" w:hAnsi="標楷體" w:hint="eastAsia"/>
                <w:sz w:val="28"/>
              </w:rPr>
              <w:t>款</w:t>
            </w:r>
            <w:r w:rsidRPr="00E2089A">
              <w:rPr>
                <w:rFonts w:ascii="標楷體" w:eastAsia="標楷體" w:hAnsi="標楷體" w:hint="eastAsia"/>
                <w:sz w:val="28"/>
              </w:rPr>
              <w:t>規定申請開戶之大</w:t>
            </w: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6E2DE0">
              <w:rPr>
                <w:rFonts w:ascii="標楷體" w:eastAsia="標楷體" w:hAnsi="標楷體" w:hint="eastAsia"/>
                <w:sz w:val="28"/>
              </w:rPr>
              <w:t>陸地區</w:t>
            </w:r>
            <w:r w:rsidRPr="00052775">
              <w:rPr>
                <w:rFonts w:ascii="標楷體" w:eastAsia="標楷體" w:hAnsi="標楷體" w:hint="eastAsia"/>
                <w:sz w:val="28"/>
              </w:rPr>
              <w:t>人民</w:t>
            </w:r>
            <w:r w:rsidRPr="00AB5D7D">
              <w:rPr>
                <w:rFonts w:ascii="標楷體" w:eastAsia="標楷體" w:hAnsi="標楷體" w:hint="eastAsia"/>
                <w:sz w:val="28"/>
              </w:rPr>
              <w:t>辦理開設新臺幣帳戶</w:t>
            </w: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t>得</w:t>
            </w:r>
            <w:proofErr w:type="gramStart"/>
            <w:r w:rsidRPr="00AB5D7D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AB5D7D">
              <w:rPr>
                <w:rFonts w:ascii="標楷體" w:eastAsia="標楷體" w:hAnsi="標楷體" w:hint="eastAsia"/>
                <w:sz w:val="28"/>
              </w:rPr>
              <w:t>用第七十七條第二項規定，</w:t>
            </w: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proofErr w:type="gramStart"/>
            <w:r w:rsidRPr="00AB5D7D">
              <w:rPr>
                <w:rFonts w:ascii="標楷體" w:eastAsia="標楷體" w:hAnsi="標楷體" w:hint="eastAsia"/>
                <w:sz w:val="28"/>
              </w:rPr>
              <w:t>惟</w:t>
            </w:r>
            <w:proofErr w:type="gramEnd"/>
            <w:r w:rsidRPr="00AB5D7D">
              <w:rPr>
                <w:rFonts w:ascii="標楷體" w:eastAsia="標楷體" w:hAnsi="標楷體" w:hint="eastAsia"/>
                <w:sz w:val="28"/>
              </w:rPr>
              <w:t>身分證明文件及代理人授權書</w:t>
            </w: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t>須經大陸地區公證處公證及財團</w:t>
            </w:r>
          </w:p>
          <w:p w:rsidR="00E2154E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t>法人海峽交流基金會驗證。</w:t>
            </w:r>
          </w:p>
          <w:p w:rsidR="00C4797C" w:rsidRDefault="00C4797C" w:rsidP="00E2154E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  <w:p w:rsidR="00CB774B" w:rsidRDefault="00CB774B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BC6E92">
              <w:rPr>
                <w:rFonts w:ascii="標楷體" w:eastAsia="標楷體" w:hAnsi="標楷體" w:hint="eastAsia"/>
                <w:sz w:val="28"/>
                <w:u w:val="single"/>
              </w:rPr>
              <w:t>第一項及第二</w:t>
            </w:r>
            <w:r w:rsidRPr="005E1658">
              <w:rPr>
                <w:rFonts w:ascii="標楷體" w:eastAsia="標楷體" w:hAnsi="標楷體" w:hint="eastAsia"/>
                <w:sz w:val="28"/>
              </w:rPr>
              <w:t>項</w:t>
            </w:r>
            <w:r w:rsidRPr="00AB5D7D">
              <w:rPr>
                <w:rFonts w:ascii="標楷體" w:eastAsia="標楷體" w:hAnsi="標楷體" w:hint="eastAsia"/>
                <w:sz w:val="28"/>
              </w:rPr>
              <w:t>帳戶僅得受託賣</w:t>
            </w:r>
          </w:p>
          <w:p w:rsidR="00E2154E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t>出，不得受託買入。</w:t>
            </w:r>
          </w:p>
          <w:p w:rsidR="00C4797C" w:rsidRDefault="00C4797C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Pr="00CB774B" w:rsidRDefault="00E2154E" w:rsidP="00CB774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4797C">
              <w:rPr>
                <w:rFonts w:ascii="標楷體" w:eastAsia="標楷體" w:hAnsi="標楷體" w:hint="eastAsia"/>
                <w:sz w:val="28"/>
                <w:u w:val="single"/>
              </w:rPr>
              <w:t>第一項</w:t>
            </w:r>
            <w:r w:rsidRPr="00C4797C">
              <w:rPr>
                <w:rFonts w:ascii="標楷體" w:eastAsia="標楷體" w:hAnsi="標楷體" w:hint="eastAsia"/>
                <w:sz w:val="28"/>
              </w:rPr>
              <w:t>取得之</w:t>
            </w:r>
            <w:r w:rsidR="00CB774B">
              <w:rPr>
                <w:rFonts w:ascii="標楷體" w:eastAsia="標楷體" w:hAnsi="標楷體" w:hint="eastAsia"/>
                <w:sz w:val="28"/>
                <w:u w:val="single"/>
              </w:rPr>
              <w:t>上市</w:t>
            </w:r>
            <w:r w:rsidRPr="00C4797C">
              <w:rPr>
                <w:rFonts w:ascii="標楷體" w:eastAsia="標楷體" w:hAnsi="標楷體" w:hint="eastAsia"/>
                <w:sz w:val="28"/>
              </w:rPr>
              <w:t>有價證券，得</w:t>
            </w:r>
            <w:r w:rsidRPr="00C4797C">
              <w:rPr>
                <w:rFonts w:ascii="標楷體" w:eastAsia="標楷體" w:hAnsi="標楷體" w:hint="eastAsia"/>
                <w:sz w:val="28"/>
              </w:rPr>
              <w:lastRenderedPageBreak/>
              <w:t>準用</w:t>
            </w:r>
            <w:r w:rsidRPr="00CB774B">
              <w:rPr>
                <w:rFonts w:ascii="標楷體" w:eastAsia="標楷體" w:hAnsi="標楷體" w:hint="eastAsia"/>
                <w:sz w:val="28"/>
              </w:rPr>
              <w:t>第八十二條之一規定賣出。</w:t>
            </w:r>
          </w:p>
        </w:tc>
        <w:tc>
          <w:tcPr>
            <w:tcW w:w="4077" w:type="dxa"/>
          </w:tcPr>
          <w:p w:rsidR="007D2B6D" w:rsidRDefault="00E2154E" w:rsidP="00AB5D7D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第七十七條之二</w:t>
            </w:r>
          </w:p>
          <w:p w:rsidR="00AB5D7D" w:rsidRPr="008B0FF5" w:rsidRDefault="00AB5D7D" w:rsidP="00AB5D7D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  <w:r w:rsidRPr="0018726A">
              <w:rPr>
                <w:rFonts w:ascii="標楷體" w:eastAsia="標楷體" w:hAnsi="標楷體" w:hint="eastAsia"/>
                <w:sz w:val="28"/>
                <w:u w:val="single"/>
              </w:rPr>
              <w:t>證券經紀商受理</w:t>
            </w:r>
            <w:r w:rsidRPr="00AB5D7D">
              <w:rPr>
                <w:rFonts w:ascii="標楷體" w:eastAsia="標楷體" w:hAnsi="標楷體" w:hint="eastAsia"/>
                <w:sz w:val="28"/>
              </w:rPr>
              <w:t>大陸地區人民</w:t>
            </w:r>
            <w:r w:rsidRPr="0018726A">
              <w:rPr>
                <w:rFonts w:ascii="標楷體" w:eastAsia="標楷體" w:hAnsi="標楷體" w:hint="eastAsia"/>
                <w:sz w:val="28"/>
              </w:rPr>
              <w:t>申請開戶，應依下列規定辦理：</w:t>
            </w:r>
          </w:p>
          <w:p w:rsidR="00193097" w:rsidRPr="007D2B6D" w:rsidRDefault="00AB5D7D" w:rsidP="00AB5D7D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8B0FF5">
              <w:rPr>
                <w:rFonts w:ascii="標楷體" w:eastAsia="標楷體" w:hAnsi="標楷體" w:hint="eastAsia"/>
                <w:sz w:val="28"/>
                <w:u w:val="single"/>
              </w:rPr>
              <w:t>一、本人開戶時，</w:t>
            </w:r>
            <w:proofErr w:type="gramStart"/>
            <w:r w:rsidRPr="008B0FF5">
              <w:rPr>
                <w:rFonts w:ascii="標楷體" w:eastAsia="標楷體" w:hAnsi="標楷體" w:hint="eastAsia"/>
                <w:sz w:val="28"/>
                <w:u w:val="single"/>
              </w:rPr>
              <w:t>應親持</w:t>
            </w:r>
            <w:proofErr w:type="gramEnd"/>
            <w:r w:rsidRPr="008B0FF5">
              <w:rPr>
                <w:rFonts w:ascii="標楷體" w:eastAsia="標楷體" w:hAnsi="標楷體" w:hint="eastAsia"/>
                <w:sz w:val="28"/>
                <w:u w:val="single"/>
              </w:rPr>
              <w:t>身分證明及經許可進入臺灣之證明文件，並檢附</w:t>
            </w:r>
            <w:r w:rsidRPr="002B2A6E">
              <w:rPr>
                <w:rFonts w:ascii="標楷體" w:eastAsia="標楷體" w:hAnsi="標楷體" w:hint="eastAsia"/>
                <w:sz w:val="28"/>
              </w:rPr>
              <w:t>經</w:t>
            </w:r>
            <w:proofErr w:type="gramStart"/>
            <w:r w:rsidRPr="002B2A6E">
              <w:rPr>
                <w:rFonts w:ascii="標楷體" w:eastAsia="標楷體" w:hAnsi="標楷體" w:hint="eastAsia"/>
                <w:sz w:val="28"/>
              </w:rPr>
              <w:t>稽</w:t>
            </w:r>
            <w:proofErr w:type="gramEnd"/>
            <w:r w:rsidRPr="002B2A6E">
              <w:rPr>
                <w:rFonts w:ascii="標楷體" w:eastAsia="標楷體" w:hAnsi="標楷體" w:hint="eastAsia"/>
                <w:sz w:val="28"/>
              </w:rPr>
              <w:t>徵機關核發遺產稅或贈與稅之繳清證明書或其他證明書件，及稅捐機關規定之所得申報納稅代理書。</w:t>
            </w:r>
          </w:p>
          <w:p w:rsidR="00AB5D7D" w:rsidRDefault="00AB5D7D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C4797C" w:rsidRDefault="00C4797C" w:rsidP="0025064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Pr="00483DC6" w:rsidRDefault="00E2154E" w:rsidP="00483DC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4797C" w:rsidRDefault="00C4797C" w:rsidP="00E2089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CB774B" w:rsidRDefault="00CB774B" w:rsidP="00E2089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CB774B" w:rsidRDefault="00CB774B" w:rsidP="00E2089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</w:p>
          <w:p w:rsidR="00E2154E" w:rsidRPr="007D2B6D" w:rsidRDefault="00E2154E" w:rsidP="00E2089A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 w:rsidRPr="00AB5D7D">
              <w:rPr>
                <w:rFonts w:ascii="標楷體" w:eastAsia="標楷體" w:hAnsi="標楷體" w:hint="eastAsia"/>
                <w:sz w:val="28"/>
                <w:u w:val="single"/>
              </w:rPr>
              <w:t>二、</w:t>
            </w:r>
            <w:r w:rsidRPr="007D2B6D">
              <w:rPr>
                <w:rFonts w:ascii="標楷體" w:eastAsia="標楷體" w:hAnsi="標楷體" w:hint="eastAsia"/>
                <w:sz w:val="28"/>
                <w:u w:val="single"/>
              </w:rPr>
              <w:t>代理開戶時</w:t>
            </w:r>
            <w:r w:rsidRPr="005E1658">
              <w:rPr>
                <w:rFonts w:ascii="標楷體" w:eastAsia="標楷體" w:hAnsi="標楷體" w:hint="eastAsia"/>
                <w:sz w:val="28"/>
              </w:rPr>
              <w:t>，</w:t>
            </w:r>
            <w:r w:rsidRPr="00052775">
              <w:rPr>
                <w:rFonts w:ascii="標楷體" w:eastAsia="標楷體" w:hAnsi="標楷體" w:hint="eastAsia"/>
                <w:sz w:val="28"/>
              </w:rPr>
              <w:t>應由代理人親持本人與委託人之身分證明、委任授權書（須經大陸地區公證處公證及財團法人海峽交流基金會驗證）及前</w:t>
            </w:r>
            <w:r w:rsidRPr="0018726A">
              <w:rPr>
                <w:rFonts w:ascii="標楷體" w:eastAsia="標楷體" w:hAnsi="標楷體" w:hint="eastAsia"/>
                <w:sz w:val="28"/>
              </w:rPr>
              <w:t>款</w:t>
            </w:r>
            <w:r w:rsidRPr="00052775">
              <w:rPr>
                <w:rFonts w:ascii="標楷體" w:eastAsia="標楷體" w:hAnsi="標楷體" w:hint="eastAsia"/>
                <w:sz w:val="28"/>
              </w:rPr>
              <w:t>之相關文件。</w:t>
            </w: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483DC6" w:rsidRDefault="00483DC6" w:rsidP="008A11D6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07DA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CB774B" w:rsidRPr="00CB774B" w:rsidRDefault="00CB774B" w:rsidP="00CB774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C4797C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8A11D6">
              <w:rPr>
                <w:rFonts w:ascii="標楷體" w:eastAsia="標楷體" w:hAnsi="標楷體" w:hint="eastAsia"/>
                <w:sz w:val="28"/>
              </w:rPr>
              <w:t>三、依</w:t>
            </w:r>
            <w:r w:rsidRPr="00515F04">
              <w:rPr>
                <w:rFonts w:ascii="標楷體" w:eastAsia="標楷體" w:hAnsi="標楷體" w:hint="eastAsia"/>
                <w:sz w:val="28"/>
              </w:rPr>
              <w:t>前款</w:t>
            </w:r>
            <w:r w:rsidRPr="008A11D6">
              <w:rPr>
                <w:rFonts w:ascii="標楷體" w:eastAsia="標楷體" w:hAnsi="標楷體" w:hint="eastAsia"/>
                <w:sz w:val="28"/>
              </w:rPr>
              <w:t>規定申請開戶之大陸地區人民辦理開設新臺幣帳戶得</w:t>
            </w:r>
            <w:proofErr w:type="gramStart"/>
            <w:r w:rsidRPr="008A11D6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8A11D6">
              <w:rPr>
                <w:rFonts w:ascii="標楷體" w:eastAsia="標楷體" w:hAnsi="標楷體" w:hint="eastAsia"/>
                <w:sz w:val="28"/>
              </w:rPr>
              <w:t>用第七十七條第二項規定，惟身分證明文件及代理人</w:t>
            </w:r>
            <w:proofErr w:type="gramStart"/>
            <w:r w:rsidRPr="008A11D6">
              <w:rPr>
                <w:rFonts w:ascii="標楷體" w:eastAsia="標楷體" w:hAnsi="標楷體" w:hint="eastAsia"/>
                <w:sz w:val="28"/>
              </w:rPr>
              <w:t>授權書須經</w:t>
            </w:r>
            <w:proofErr w:type="gramEnd"/>
            <w:r w:rsidRPr="008A11D6">
              <w:rPr>
                <w:rFonts w:ascii="標楷體" w:eastAsia="標楷體" w:hAnsi="標楷體" w:hint="eastAsia"/>
                <w:sz w:val="28"/>
              </w:rPr>
              <w:t>大陸地區公證處公證及財團法人海峽交流基金會驗證。</w:t>
            </w:r>
          </w:p>
          <w:p w:rsidR="00C4797C" w:rsidRPr="00C4797C" w:rsidRDefault="00C4797C" w:rsidP="00C4797C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</w:p>
          <w:p w:rsidR="00E2154E" w:rsidRDefault="00E2154E" w:rsidP="00807DAF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18726A">
              <w:rPr>
                <w:rFonts w:ascii="標楷體" w:eastAsia="標楷體" w:hAnsi="標楷體" w:hint="eastAsia"/>
                <w:sz w:val="28"/>
              </w:rPr>
              <w:t>前</w:t>
            </w:r>
            <w:r w:rsidRPr="005E1658">
              <w:rPr>
                <w:rFonts w:ascii="標楷體" w:eastAsia="標楷體" w:hAnsi="標楷體" w:hint="eastAsia"/>
                <w:sz w:val="28"/>
              </w:rPr>
              <w:t>項</w:t>
            </w:r>
            <w:r w:rsidRPr="00AB5D7D">
              <w:rPr>
                <w:rFonts w:ascii="標楷體" w:eastAsia="標楷體" w:hAnsi="標楷體" w:hint="eastAsia"/>
                <w:sz w:val="28"/>
              </w:rPr>
              <w:t>帳戶僅得受託賣出，不得受託買入。</w:t>
            </w:r>
          </w:p>
          <w:p w:rsidR="00C4797C" w:rsidRDefault="00C4797C" w:rsidP="00807DAF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  <w:p w:rsidR="00807DAF" w:rsidRPr="0018726A" w:rsidRDefault="00E2154E" w:rsidP="00C4797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8726A">
              <w:rPr>
                <w:rFonts w:ascii="標楷體" w:eastAsia="標楷體" w:hAnsi="標楷體" w:hint="eastAsia"/>
                <w:sz w:val="28"/>
              </w:rPr>
              <w:t>大陸地區人民因繼承、贈與取</w:t>
            </w:r>
          </w:p>
          <w:p w:rsidR="00807DAF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lastRenderedPageBreak/>
              <w:t>得之有價證券，得</w:t>
            </w:r>
            <w:proofErr w:type="gramStart"/>
            <w:r w:rsidRPr="00AB5D7D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AB5D7D">
              <w:rPr>
                <w:rFonts w:ascii="標楷體" w:eastAsia="標楷體" w:hAnsi="標楷體" w:hint="eastAsia"/>
                <w:sz w:val="28"/>
              </w:rPr>
              <w:t>用第八十</w:t>
            </w:r>
          </w:p>
          <w:p w:rsidR="00E2154E" w:rsidRPr="00E2154E" w:rsidRDefault="00E2154E" w:rsidP="00E2154E">
            <w:pPr>
              <w:pStyle w:val="a4"/>
              <w:spacing w:line="400" w:lineRule="exact"/>
              <w:ind w:leftChars="0" w:left="560" w:hangingChars="200" w:hanging="560"/>
              <w:rPr>
                <w:rFonts w:ascii="標楷體" w:eastAsia="標楷體" w:hAnsi="標楷體"/>
                <w:sz w:val="28"/>
              </w:rPr>
            </w:pPr>
            <w:r w:rsidRPr="00AB5D7D">
              <w:rPr>
                <w:rFonts w:ascii="標楷體" w:eastAsia="標楷體" w:hAnsi="標楷體" w:hint="eastAsia"/>
                <w:sz w:val="28"/>
              </w:rPr>
              <w:t>二條之</w:t>
            </w:r>
            <w:proofErr w:type="gramStart"/>
            <w:r w:rsidRPr="00AB5D7D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AB5D7D">
              <w:rPr>
                <w:rFonts w:ascii="標楷體" w:eastAsia="標楷體" w:hAnsi="標楷體" w:hint="eastAsia"/>
                <w:sz w:val="28"/>
              </w:rPr>
              <w:t>規定賣出。</w:t>
            </w:r>
          </w:p>
        </w:tc>
        <w:tc>
          <w:tcPr>
            <w:tcW w:w="2835" w:type="dxa"/>
          </w:tcPr>
          <w:p w:rsidR="00E2154E" w:rsidRDefault="00B53067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一、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依據臺灣地區與大陸地區人民關係條例第</w:t>
            </w:r>
            <w:r w:rsidR="00FC307A">
              <w:rPr>
                <w:rFonts w:ascii="標楷體" w:eastAsia="標楷體" w:hAnsi="標楷體" w:cs="Times New Roman" w:hint="eastAsia"/>
                <w:sz w:val="28"/>
                <w:szCs w:val="24"/>
              </w:rPr>
              <w:t>六十七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條第</w:t>
            </w:r>
            <w:r w:rsidR="00FC307A">
              <w:rPr>
                <w:rFonts w:ascii="標楷體" w:eastAsia="標楷體" w:hAnsi="標楷體" w:cs="Times New Roman" w:hint="eastAsia"/>
                <w:sz w:val="28"/>
                <w:szCs w:val="24"/>
              </w:rPr>
              <w:t>三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項規定，</w:t>
            </w:r>
            <w:r w:rsidR="00A25C54">
              <w:rPr>
                <w:rFonts w:ascii="標楷體" w:eastAsia="標楷體" w:hAnsi="標楷體" w:cs="Times New Roman" w:hint="eastAsia"/>
                <w:sz w:val="28"/>
                <w:szCs w:val="24"/>
              </w:rPr>
              <w:t>遺囑人得以其在臺灣地區之財產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遺贈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大陸地區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人民、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法人、團體或其他機構，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故將大陸地區法人、團體或其他機構加入適用範</w:t>
            </w:r>
            <w:r w:rsidR="00483DC6">
              <w:rPr>
                <w:rFonts w:ascii="標楷體" w:eastAsia="標楷體" w:hAnsi="標楷體" w:cs="Times New Roman" w:hint="eastAsia"/>
                <w:sz w:val="28"/>
                <w:szCs w:val="24"/>
              </w:rPr>
              <w:t>圍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，並</w:t>
            </w:r>
            <w:proofErr w:type="gramStart"/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增列檢附</w:t>
            </w:r>
            <w:proofErr w:type="gramEnd"/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文</w:t>
            </w:r>
            <w:r w:rsidR="00483DC6">
              <w:rPr>
                <w:rFonts w:ascii="標楷體" w:eastAsia="標楷體" w:hAnsi="標楷體" w:cs="Times New Roman" w:hint="eastAsia"/>
                <w:sz w:val="28"/>
                <w:szCs w:val="24"/>
              </w:rPr>
              <w:t>件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proofErr w:type="gramStart"/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爰</w:t>
            </w:r>
            <w:proofErr w:type="gramEnd"/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修</w:t>
            </w:r>
            <w:r w:rsidR="00430C2A">
              <w:rPr>
                <w:rFonts w:ascii="標楷體" w:eastAsia="標楷體" w:hAnsi="標楷體" w:cs="Times New Roman" w:hint="eastAsia"/>
                <w:sz w:val="28"/>
                <w:szCs w:val="24"/>
              </w:rPr>
              <w:t>正第一</w:t>
            </w:r>
            <w:r w:rsidR="00EA2916">
              <w:rPr>
                <w:rFonts w:ascii="標楷體" w:eastAsia="標楷體" w:hAnsi="標楷體" w:cs="Times New Roman" w:hint="eastAsia"/>
                <w:sz w:val="28"/>
                <w:szCs w:val="24"/>
              </w:rPr>
              <w:t>項</w:t>
            </w:r>
            <w:r w:rsidR="00EA2916" w:rsidRPr="00AB5D7D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:rsidR="00E2154E" w:rsidRDefault="00483DC6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二、</w:t>
            </w:r>
            <w:r w:rsidR="00E2154E" w:rsidRPr="00AB5D7D">
              <w:rPr>
                <w:rFonts w:ascii="標楷體" w:eastAsia="標楷體" w:hAnsi="標楷體" w:cs="Times New Roman" w:hint="eastAsia"/>
                <w:sz w:val="28"/>
                <w:szCs w:val="24"/>
              </w:rPr>
              <w:t>為</w:t>
            </w:r>
            <w:r w:rsidR="00E2154E" w:rsidRPr="00AB5D7D">
              <w:rPr>
                <w:rFonts w:ascii="標楷體" w:eastAsia="標楷體" w:hAnsi="標楷體" w:hint="eastAsia"/>
                <w:sz w:val="28"/>
              </w:rPr>
              <w:t>經濟部投資審議委員會</w:t>
            </w:r>
            <w:r w:rsidR="00E2154E">
              <w:rPr>
                <w:rFonts w:ascii="標楷體" w:eastAsia="標楷體" w:hAnsi="標楷體" w:hint="eastAsia"/>
                <w:sz w:val="28"/>
              </w:rPr>
              <w:t>得</w:t>
            </w:r>
            <w:r w:rsidR="00E2154E" w:rsidRPr="00AB5D7D">
              <w:rPr>
                <w:rFonts w:ascii="標楷體" w:eastAsia="標楷體" w:hAnsi="標楷體" w:hint="eastAsia"/>
                <w:sz w:val="28"/>
              </w:rPr>
              <w:t>專案核准</w:t>
            </w:r>
            <w:r w:rsidR="00814CE0" w:rsidRPr="00814CE0">
              <w:rPr>
                <w:rFonts w:ascii="標楷體" w:eastAsia="標楷體" w:hAnsi="標楷體" w:hint="eastAsia"/>
                <w:sz w:val="28"/>
              </w:rPr>
              <w:t>大陸地區</w:t>
            </w:r>
            <w:r w:rsidR="00CF7B17">
              <w:rPr>
                <w:rFonts w:ascii="標楷體" w:eastAsia="標楷體" w:hAnsi="標楷體" w:hint="eastAsia"/>
                <w:sz w:val="28"/>
              </w:rPr>
              <w:t>投資人（含大陸地區</w:t>
            </w:r>
            <w:r w:rsidR="00814CE0" w:rsidRPr="00814CE0">
              <w:rPr>
                <w:rFonts w:ascii="標楷體" w:eastAsia="標楷體" w:hAnsi="標楷體" w:hint="eastAsia"/>
                <w:sz w:val="28"/>
              </w:rPr>
              <w:t>人民、法人、團體、其他機構或其於第三地區投資之外國法人</w:t>
            </w:r>
            <w:r w:rsidR="00CF7B17">
              <w:rPr>
                <w:rFonts w:ascii="標楷體" w:eastAsia="標楷體" w:hAnsi="標楷體" w:hint="eastAsia"/>
                <w:sz w:val="28"/>
              </w:rPr>
              <w:t>）</w:t>
            </w:r>
            <w:r w:rsidR="00E2154E" w:rsidRPr="00814CE0">
              <w:rPr>
                <w:rFonts w:ascii="標楷體" w:eastAsia="標楷體" w:hAnsi="標楷體" w:hint="eastAsia"/>
                <w:sz w:val="28"/>
              </w:rPr>
              <w:t>投</w:t>
            </w:r>
            <w:r w:rsidR="00E2154E">
              <w:rPr>
                <w:rFonts w:ascii="標楷體" w:eastAsia="標楷體" w:hAnsi="標楷體" w:hint="eastAsia"/>
                <w:sz w:val="28"/>
              </w:rPr>
              <w:t>資上市公司，當大陸地區投資人申請賣出持股獲其核准後，無法援引大陸地區投資人來</w:t>
            </w:r>
            <w:proofErr w:type="gramStart"/>
            <w:r w:rsidR="00E2154E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="00E2154E">
              <w:rPr>
                <w:rFonts w:ascii="標楷體" w:eastAsia="標楷體" w:hAnsi="標楷體" w:hint="eastAsia"/>
                <w:sz w:val="28"/>
              </w:rPr>
              <w:t>從事證券投資及期貨交易管理辦法</w:t>
            </w:r>
            <w:r w:rsidR="00814CE0">
              <w:rPr>
                <w:rFonts w:ascii="標楷體" w:eastAsia="標楷體" w:hAnsi="標楷體" w:hint="eastAsia"/>
                <w:sz w:val="28"/>
              </w:rPr>
              <w:t>辦理身分登記</w:t>
            </w:r>
            <w:r w:rsidR="00E2154E">
              <w:rPr>
                <w:rFonts w:ascii="標楷體" w:eastAsia="標楷體" w:hAnsi="標楷體" w:hint="eastAsia"/>
                <w:sz w:val="28"/>
              </w:rPr>
              <w:lastRenderedPageBreak/>
              <w:t>並至證券商開戶，</w:t>
            </w:r>
            <w:proofErr w:type="gramStart"/>
            <w:r w:rsidR="00E2154E">
              <w:rPr>
                <w:rFonts w:ascii="標楷體" w:eastAsia="標楷體" w:hAnsi="標楷體" w:hint="eastAsia"/>
                <w:sz w:val="28"/>
              </w:rPr>
              <w:t>爰</w:t>
            </w:r>
            <w:proofErr w:type="gramEnd"/>
            <w:r w:rsidR="00E2154E">
              <w:rPr>
                <w:rFonts w:ascii="標楷體" w:eastAsia="標楷體" w:hAnsi="標楷體" w:hint="eastAsia"/>
                <w:sz w:val="28"/>
              </w:rPr>
              <w:t>參照第七十七條華僑及外國人得</w:t>
            </w:r>
            <w:r w:rsidR="00B53067">
              <w:rPr>
                <w:rFonts w:ascii="標楷體" w:eastAsia="標楷體" w:hAnsi="標楷體" w:hint="eastAsia"/>
                <w:sz w:val="28"/>
              </w:rPr>
              <w:t>開戶賣出證券之規定</w:t>
            </w:r>
            <w:r w:rsidR="00C4797C">
              <w:rPr>
                <w:rFonts w:ascii="標楷體" w:eastAsia="標楷體" w:hAnsi="標楷體" w:hint="eastAsia"/>
                <w:sz w:val="28"/>
              </w:rPr>
              <w:t>，新增第二項。</w:t>
            </w:r>
          </w:p>
          <w:p w:rsidR="00E2154E" w:rsidRPr="00041778" w:rsidRDefault="00814CE0" w:rsidP="00041778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7226B">
              <w:rPr>
                <w:rFonts w:ascii="標楷體" w:eastAsia="標楷體" w:hAnsi="標楷體" w:cs="Times New Roman" w:hint="eastAsia"/>
                <w:sz w:val="28"/>
                <w:szCs w:val="24"/>
              </w:rPr>
              <w:t>三、</w:t>
            </w:r>
            <w:r w:rsid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第一項第二款</w:t>
            </w:r>
            <w:r w:rsidR="00E2089A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調整</w:t>
            </w:r>
            <w:r w:rsid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為第三項，</w:t>
            </w:r>
            <w:r w:rsidR="00E2089A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並</w:t>
            </w:r>
            <w:r w:rsidR="00C4797C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增列</w:t>
            </w:r>
            <w:r w:rsidR="00733D5D">
              <w:rPr>
                <w:rFonts w:ascii="標楷體" w:eastAsia="標楷體" w:hAnsi="標楷體" w:hint="eastAsia"/>
                <w:sz w:val="28"/>
              </w:rPr>
              <w:t>大陸地區</w:t>
            </w:r>
            <w:r w:rsidR="00041778" w:rsidRPr="00041778">
              <w:rPr>
                <w:rFonts w:ascii="標楷體" w:eastAsia="標楷體" w:hAnsi="標楷體" w:hint="eastAsia"/>
                <w:sz w:val="28"/>
              </w:rPr>
              <w:t>法人、團體、其他機構或其於第三地區投資之外國法人</w:t>
            </w:r>
            <w:r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得</w:t>
            </w:r>
            <w:r w:rsidR="00515F04">
              <w:rPr>
                <w:rFonts w:ascii="標楷體" w:eastAsia="標楷體" w:hAnsi="標楷體" w:cs="Times New Roman" w:hint="eastAsia"/>
                <w:sz w:val="28"/>
                <w:szCs w:val="24"/>
              </w:rPr>
              <w:t>委由</w:t>
            </w:r>
            <w:r w:rsidR="00E2089A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代理</w:t>
            </w:r>
            <w:r w:rsidR="00515F04">
              <w:rPr>
                <w:rFonts w:ascii="標楷體" w:eastAsia="標楷體" w:hAnsi="標楷體" w:cs="Times New Roman" w:hint="eastAsia"/>
                <w:sz w:val="28"/>
                <w:szCs w:val="24"/>
              </w:rPr>
              <w:t>人</w:t>
            </w:r>
            <w:r w:rsidR="00E2089A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開戶</w:t>
            </w:r>
            <w:r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及</w:t>
            </w:r>
            <w:r w:rsidR="00E2089A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應檢附之相關文件。</w:t>
            </w:r>
          </w:p>
          <w:p w:rsidR="00E2154E" w:rsidRDefault="00E2089A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、</w:t>
            </w:r>
            <w:r w:rsid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第一項第三款</w:t>
            </w:r>
            <w:r w:rsidR="00041778"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調整</w:t>
            </w:r>
            <w:r w:rsid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為第四項</w:t>
            </w:r>
            <w:r w:rsidR="005E1658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並酌修文字</w:t>
            </w:r>
            <w:proofErr w:type="gramEnd"/>
            <w:r w:rsidR="00C4797C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:rsidR="00041778" w:rsidRDefault="00041778" w:rsidP="00041778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五、第二項及第三項</w:t>
            </w:r>
            <w:r w:rsidR="00816D88">
              <w:rPr>
                <w:rFonts w:ascii="標楷體" w:eastAsia="標楷體" w:hAnsi="標楷體" w:cs="Times New Roman" w:hint="eastAsia"/>
                <w:sz w:val="28"/>
                <w:szCs w:val="24"/>
              </w:rPr>
              <w:t>調</w:t>
            </w:r>
            <w:r w:rsidRPr="00041778">
              <w:rPr>
                <w:rFonts w:ascii="標楷體" w:eastAsia="標楷體" w:hAnsi="標楷體" w:cs="Times New Roman" w:hint="eastAsia"/>
                <w:sz w:val="28"/>
                <w:szCs w:val="24"/>
              </w:rPr>
              <w:t>整</w:t>
            </w:r>
            <w:r w:rsidR="00C73453">
              <w:rPr>
                <w:rFonts w:ascii="標楷體" w:eastAsia="標楷體" w:hAnsi="標楷體" w:cs="Times New Roman" w:hint="eastAsia"/>
                <w:sz w:val="28"/>
                <w:szCs w:val="24"/>
              </w:rPr>
              <w:t>為第五項及第六項，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並酌修文字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  <w:p w:rsidR="00041778" w:rsidRPr="00041778" w:rsidRDefault="00041778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:rsidR="00483DC6" w:rsidRPr="00041778" w:rsidRDefault="00483DC6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EF51D9" w:rsidRDefault="00EF51D9" w:rsidP="00FC307A">
            <w:pPr>
              <w:pStyle w:val="a4"/>
              <w:spacing w:line="400" w:lineRule="exact"/>
              <w:ind w:leftChars="-45" w:left="404" w:hangingChars="183" w:hanging="512"/>
              <w:rPr>
                <w:rFonts w:ascii="標楷體" w:eastAsia="標楷體" w:hAnsi="標楷體"/>
                <w:sz w:val="28"/>
              </w:rPr>
            </w:pPr>
          </w:p>
          <w:p w:rsidR="007D3E14" w:rsidRDefault="007D3E14" w:rsidP="00E2154E">
            <w:pPr>
              <w:pStyle w:val="a4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  <w:p w:rsidR="00E2154E" w:rsidRPr="007D2B6D" w:rsidRDefault="00E2154E" w:rsidP="00C4797C">
            <w:pPr>
              <w:pStyle w:val="a4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AB5D7D" w:rsidRDefault="00AB5D7D"/>
    <w:sectPr w:rsidR="00AB5D7D" w:rsidSect="003509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06" w:rsidRDefault="00A77006" w:rsidP="00F05C78">
      <w:r>
        <w:separator/>
      </w:r>
    </w:p>
  </w:endnote>
  <w:endnote w:type="continuationSeparator" w:id="0">
    <w:p w:rsidR="00A77006" w:rsidRDefault="00A77006" w:rsidP="00F0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06" w:rsidRDefault="00A77006" w:rsidP="00F05C78">
      <w:r>
        <w:separator/>
      </w:r>
    </w:p>
  </w:footnote>
  <w:footnote w:type="continuationSeparator" w:id="0">
    <w:p w:rsidR="00A77006" w:rsidRDefault="00A77006" w:rsidP="00F05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D"/>
    <w:rsid w:val="00002C1E"/>
    <w:rsid w:val="00017EFC"/>
    <w:rsid w:val="0003331D"/>
    <w:rsid w:val="00041778"/>
    <w:rsid w:val="00046F7E"/>
    <w:rsid w:val="00052775"/>
    <w:rsid w:val="000D56A2"/>
    <w:rsid w:val="00121514"/>
    <w:rsid w:val="001559DB"/>
    <w:rsid w:val="00155DA5"/>
    <w:rsid w:val="00170F1F"/>
    <w:rsid w:val="0018726A"/>
    <w:rsid w:val="00193097"/>
    <w:rsid w:val="001A26EB"/>
    <w:rsid w:val="001F2424"/>
    <w:rsid w:val="002053A7"/>
    <w:rsid w:val="00232F36"/>
    <w:rsid w:val="0023553C"/>
    <w:rsid w:val="00246F79"/>
    <w:rsid w:val="00250648"/>
    <w:rsid w:val="00266934"/>
    <w:rsid w:val="00270F7C"/>
    <w:rsid w:val="00294EC8"/>
    <w:rsid w:val="002B2A6E"/>
    <w:rsid w:val="002C579D"/>
    <w:rsid w:val="002F44B7"/>
    <w:rsid w:val="003161A1"/>
    <w:rsid w:val="0032118A"/>
    <w:rsid w:val="00350924"/>
    <w:rsid w:val="0037073A"/>
    <w:rsid w:val="00380BA9"/>
    <w:rsid w:val="003A3796"/>
    <w:rsid w:val="003A54DC"/>
    <w:rsid w:val="003B655D"/>
    <w:rsid w:val="003D13EF"/>
    <w:rsid w:val="003E08B2"/>
    <w:rsid w:val="003E1DCD"/>
    <w:rsid w:val="003F6772"/>
    <w:rsid w:val="00406610"/>
    <w:rsid w:val="00413B62"/>
    <w:rsid w:val="00430C2A"/>
    <w:rsid w:val="004341BD"/>
    <w:rsid w:val="00464280"/>
    <w:rsid w:val="004731C0"/>
    <w:rsid w:val="00483DC6"/>
    <w:rsid w:val="004E3E5B"/>
    <w:rsid w:val="00515F04"/>
    <w:rsid w:val="005453C3"/>
    <w:rsid w:val="00554E85"/>
    <w:rsid w:val="005E1658"/>
    <w:rsid w:val="00604CC6"/>
    <w:rsid w:val="0062406C"/>
    <w:rsid w:val="0068161E"/>
    <w:rsid w:val="006E2DE0"/>
    <w:rsid w:val="006E42D0"/>
    <w:rsid w:val="00700A26"/>
    <w:rsid w:val="00716C3D"/>
    <w:rsid w:val="00722033"/>
    <w:rsid w:val="00733D5D"/>
    <w:rsid w:val="0074075D"/>
    <w:rsid w:val="0074718F"/>
    <w:rsid w:val="00751B65"/>
    <w:rsid w:val="00753D0C"/>
    <w:rsid w:val="00757C47"/>
    <w:rsid w:val="00780EA0"/>
    <w:rsid w:val="00790BDA"/>
    <w:rsid w:val="007934E0"/>
    <w:rsid w:val="007B36D5"/>
    <w:rsid w:val="007B70E5"/>
    <w:rsid w:val="007D2B6D"/>
    <w:rsid w:val="007D3E14"/>
    <w:rsid w:val="007E1EE1"/>
    <w:rsid w:val="007E7BD2"/>
    <w:rsid w:val="00807DAF"/>
    <w:rsid w:val="008131B2"/>
    <w:rsid w:val="00814CE0"/>
    <w:rsid w:val="00816D88"/>
    <w:rsid w:val="00817208"/>
    <w:rsid w:val="008310AD"/>
    <w:rsid w:val="008405EF"/>
    <w:rsid w:val="00857BCE"/>
    <w:rsid w:val="008711E5"/>
    <w:rsid w:val="008A11D6"/>
    <w:rsid w:val="008B0FF5"/>
    <w:rsid w:val="008B3253"/>
    <w:rsid w:val="008B4601"/>
    <w:rsid w:val="008D05D7"/>
    <w:rsid w:val="008D5CF3"/>
    <w:rsid w:val="008E05D5"/>
    <w:rsid w:val="00900E52"/>
    <w:rsid w:val="009026C1"/>
    <w:rsid w:val="00903FFA"/>
    <w:rsid w:val="00920E75"/>
    <w:rsid w:val="0092724A"/>
    <w:rsid w:val="00927CB2"/>
    <w:rsid w:val="00955F06"/>
    <w:rsid w:val="0096075D"/>
    <w:rsid w:val="00974E9A"/>
    <w:rsid w:val="009772F3"/>
    <w:rsid w:val="0098006B"/>
    <w:rsid w:val="0098241D"/>
    <w:rsid w:val="009B31B3"/>
    <w:rsid w:val="009B52F2"/>
    <w:rsid w:val="009D4552"/>
    <w:rsid w:val="009D6395"/>
    <w:rsid w:val="00A0558D"/>
    <w:rsid w:val="00A067A1"/>
    <w:rsid w:val="00A25C54"/>
    <w:rsid w:val="00A401BD"/>
    <w:rsid w:val="00A4351C"/>
    <w:rsid w:val="00A519C8"/>
    <w:rsid w:val="00A578D5"/>
    <w:rsid w:val="00A65E88"/>
    <w:rsid w:val="00A74152"/>
    <w:rsid w:val="00A745BF"/>
    <w:rsid w:val="00A766C6"/>
    <w:rsid w:val="00A77006"/>
    <w:rsid w:val="00A900C5"/>
    <w:rsid w:val="00AA7A7D"/>
    <w:rsid w:val="00AB5D7D"/>
    <w:rsid w:val="00AB6A40"/>
    <w:rsid w:val="00AD1CF7"/>
    <w:rsid w:val="00AE4C4C"/>
    <w:rsid w:val="00B1069B"/>
    <w:rsid w:val="00B240DD"/>
    <w:rsid w:val="00B31012"/>
    <w:rsid w:val="00B53067"/>
    <w:rsid w:val="00B638EE"/>
    <w:rsid w:val="00B84D04"/>
    <w:rsid w:val="00B8582B"/>
    <w:rsid w:val="00BB3004"/>
    <w:rsid w:val="00BC5C9A"/>
    <w:rsid w:val="00BC6CD5"/>
    <w:rsid w:val="00BC6E92"/>
    <w:rsid w:val="00BC7650"/>
    <w:rsid w:val="00BF49AE"/>
    <w:rsid w:val="00C17DD1"/>
    <w:rsid w:val="00C4445C"/>
    <w:rsid w:val="00C4797C"/>
    <w:rsid w:val="00C73453"/>
    <w:rsid w:val="00C7620E"/>
    <w:rsid w:val="00C77C86"/>
    <w:rsid w:val="00C95C62"/>
    <w:rsid w:val="00CB2B09"/>
    <w:rsid w:val="00CB774B"/>
    <w:rsid w:val="00CF7B17"/>
    <w:rsid w:val="00D062A0"/>
    <w:rsid w:val="00D31B12"/>
    <w:rsid w:val="00D73ED4"/>
    <w:rsid w:val="00DA7FAD"/>
    <w:rsid w:val="00DC17F3"/>
    <w:rsid w:val="00DC229D"/>
    <w:rsid w:val="00DC458B"/>
    <w:rsid w:val="00DC7C5B"/>
    <w:rsid w:val="00E10FC7"/>
    <w:rsid w:val="00E2089A"/>
    <w:rsid w:val="00E2154E"/>
    <w:rsid w:val="00E23CC6"/>
    <w:rsid w:val="00E24341"/>
    <w:rsid w:val="00E54CD8"/>
    <w:rsid w:val="00E7226B"/>
    <w:rsid w:val="00E7229E"/>
    <w:rsid w:val="00E90B61"/>
    <w:rsid w:val="00EA2916"/>
    <w:rsid w:val="00EB4776"/>
    <w:rsid w:val="00EB7A12"/>
    <w:rsid w:val="00EC1AC7"/>
    <w:rsid w:val="00EC7A51"/>
    <w:rsid w:val="00EF51D9"/>
    <w:rsid w:val="00EF5218"/>
    <w:rsid w:val="00F05C78"/>
    <w:rsid w:val="00F147FA"/>
    <w:rsid w:val="00F50EEB"/>
    <w:rsid w:val="00F6183C"/>
    <w:rsid w:val="00FC05E0"/>
    <w:rsid w:val="00FC307A"/>
    <w:rsid w:val="00FC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D7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F0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5C7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5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5C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31B4-F89D-44F8-B8A2-29C1EB7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1143</dc:creator>
  <cp:lastModifiedBy>1143</cp:lastModifiedBy>
  <cp:revision>2</cp:revision>
  <cp:lastPrinted>2015-11-25T04:26:00Z</cp:lastPrinted>
  <dcterms:created xsi:type="dcterms:W3CDTF">2016-01-21T09:29:00Z</dcterms:created>
  <dcterms:modified xsi:type="dcterms:W3CDTF">2016-01-21T09:29:00Z</dcterms:modified>
</cp:coreProperties>
</file>