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55" w:rsidRDefault="00E10BD2" w:rsidP="00E10BD2">
      <w:pPr>
        <w:spacing w:line="400" w:lineRule="exact"/>
        <w:ind w:leftChars="1" w:left="648" w:hangingChars="202" w:hanging="646"/>
        <w:jc w:val="center"/>
        <w:rPr>
          <w:rFonts w:ascii="標楷體" w:eastAsia="標楷體" w:hAnsi="標楷體"/>
          <w:sz w:val="32"/>
          <w:szCs w:val="32"/>
        </w:rPr>
      </w:pPr>
      <w:r w:rsidRPr="00E10BD2">
        <w:rPr>
          <w:rFonts w:ascii="標楷體" w:eastAsia="標楷體" w:hAnsi="標楷體" w:hint="eastAsia"/>
          <w:sz w:val="32"/>
          <w:szCs w:val="32"/>
        </w:rPr>
        <w:t>證券商受理投資人使用應用程式介面(API)服務作業規範</w:t>
      </w:r>
    </w:p>
    <w:p w:rsidR="001E687A" w:rsidRDefault="001E687A" w:rsidP="00EA3855">
      <w:pPr>
        <w:spacing w:line="400" w:lineRule="exact"/>
        <w:ind w:leftChars="1" w:left="648" w:hangingChars="202" w:hanging="646"/>
        <w:jc w:val="center"/>
        <w:rPr>
          <w:rFonts w:ascii="標楷體" w:eastAsia="標楷體" w:hAnsi="標楷體"/>
          <w:sz w:val="32"/>
          <w:szCs w:val="32"/>
        </w:rPr>
      </w:pPr>
    </w:p>
    <w:p w:rsidR="001E687A" w:rsidRDefault="001E687A" w:rsidP="001E687A">
      <w:pPr>
        <w:spacing w:line="400" w:lineRule="exact"/>
        <w:ind w:leftChars="1" w:left="568" w:hangingChars="202" w:hanging="566"/>
        <w:rPr>
          <w:rFonts w:ascii="標楷體" w:eastAsia="標楷體" w:hAnsi="標楷體"/>
          <w:sz w:val="28"/>
          <w:szCs w:val="28"/>
        </w:rPr>
      </w:pPr>
      <w:r w:rsidRPr="001E687A">
        <w:rPr>
          <w:rFonts w:ascii="標楷體" w:eastAsia="標楷體" w:hAnsi="標楷體" w:hint="eastAsia"/>
          <w:sz w:val="28"/>
          <w:szCs w:val="28"/>
        </w:rPr>
        <w:t>證券商</w:t>
      </w:r>
      <w:r w:rsidRPr="001E687A">
        <w:rPr>
          <w:rFonts w:ascii="標楷體" w:eastAsia="標楷體" w:hAnsi="標楷體"/>
          <w:sz w:val="28"/>
          <w:szCs w:val="28"/>
        </w:rPr>
        <w:t>提供客戶使用應用程式介面(API)服務之相關作業，應依下列</w:t>
      </w:r>
    </w:p>
    <w:p w:rsidR="001E687A" w:rsidRDefault="001E687A" w:rsidP="001E687A">
      <w:pPr>
        <w:spacing w:line="400" w:lineRule="exact"/>
        <w:ind w:leftChars="1" w:left="568" w:hangingChars="202" w:hanging="566"/>
        <w:rPr>
          <w:rFonts w:ascii="標楷體" w:eastAsia="標楷體" w:hAnsi="標楷體"/>
          <w:sz w:val="28"/>
          <w:szCs w:val="28"/>
        </w:rPr>
      </w:pPr>
      <w:r w:rsidRPr="001E687A">
        <w:rPr>
          <w:rFonts w:ascii="標楷體" w:eastAsia="標楷體" w:hAnsi="標楷體"/>
          <w:sz w:val="28"/>
          <w:szCs w:val="28"/>
        </w:rPr>
        <w:t>申請流程、核可標準及相關控管配套措施辦理：</w:t>
      </w:r>
    </w:p>
    <w:p w:rsidR="001E687A" w:rsidRPr="005123BB" w:rsidRDefault="001E687A" w:rsidP="001E687A">
      <w:pPr>
        <w:pStyle w:val="a8"/>
        <w:spacing w:line="400" w:lineRule="exact"/>
        <w:ind w:leftChars="0" w:left="0"/>
        <w:jc w:val="both"/>
        <w:rPr>
          <w:szCs w:val="28"/>
        </w:rPr>
      </w:pPr>
      <w:r w:rsidRPr="005123BB">
        <w:rPr>
          <w:rFonts w:ascii="標楷體" w:hAnsi="標楷體" w:hint="eastAsia"/>
          <w:szCs w:val="28"/>
        </w:rPr>
        <w:t>一、</w:t>
      </w:r>
      <w:r w:rsidRPr="005123BB">
        <w:rPr>
          <w:szCs w:val="28"/>
        </w:rPr>
        <w:t>申請流程</w:t>
      </w:r>
    </w:p>
    <w:p w:rsidR="005123BB" w:rsidRDefault="005123BB" w:rsidP="005123BB">
      <w:pPr>
        <w:pStyle w:val="a8"/>
        <w:spacing w:line="400" w:lineRule="exact"/>
        <w:ind w:leftChars="118" w:left="613" w:hangingChars="118" w:hanging="330"/>
        <w:jc w:val="both"/>
        <w:rPr>
          <w:szCs w:val="28"/>
        </w:rPr>
      </w:pPr>
      <w:r>
        <w:rPr>
          <w:rFonts w:ascii="標楷體" w:hAnsi="標楷體" w:hint="eastAsia"/>
          <w:szCs w:val="28"/>
        </w:rPr>
        <w:t>（一）</w:t>
      </w:r>
      <w:r w:rsidRPr="005123BB">
        <w:rPr>
          <w:rFonts w:ascii="標楷體" w:hAnsi="標楷體" w:hint="eastAsia"/>
          <w:szCs w:val="28"/>
        </w:rPr>
        <w:t>投資</w:t>
      </w:r>
      <w:r w:rsidRPr="005123BB">
        <w:rPr>
          <w:rFonts w:ascii="標楷體" w:hAnsi="標楷體"/>
          <w:szCs w:val="28"/>
        </w:rPr>
        <w:t>人</w:t>
      </w:r>
      <w:r w:rsidR="001E687A" w:rsidRPr="005123BB">
        <w:rPr>
          <w:szCs w:val="28"/>
        </w:rPr>
        <w:t>申請</w:t>
      </w:r>
      <w:r w:rsidR="001E687A" w:rsidRPr="005123BB">
        <w:rPr>
          <w:szCs w:val="28"/>
        </w:rPr>
        <w:t>API</w:t>
      </w:r>
      <w:r w:rsidR="001E687A" w:rsidRPr="005123BB">
        <w:rPr>
          <w:szCs w:val="28"/>
        </w:rPr>
        <w:t>服務時，應親持身分證明文件提出書面申請</w:t>
      </w:r>
    </w:p>
    <w:p w:rsidR="001E687A" w:rsidRPr="005123BB" w:rsidRDefault="005123BB" w:rsidP="005123BB">
      <w:pPr>
        <w:pStyle w:val="a8"/>
        <w:spacing w:line="400" w:lineRule="exact"/>
        <w:ind w:leftChars="118" w:left="613" w:hangingChars="118" w:hanging="330"/>
        <w:jc w:val="both"/>
        <w:rPr>
          <w:szCs w:val="28"/>
        </w:rPr>
      </w:pPr>
      <w:r>
        <w:rPr>
          <w:rFonts w:hint="eastAsia"/>
          <w:szCs w:val="28"/>
        </w:rPr>
        <w:t xml:space="preserve">      </w:t>
      </w:r>
      <w:r w:rsidR="001E687A" w:rsidRPr="005123BB">
        <w:rPr>
          <w:szCs w:val="28"/>
        </w:rPr>
        <w:t>並於營業場所當場簽名或蓋章。</w:t>
      </w:r>
    </w:p>
    <w:p w:rsidR="005123BB" w:rsidRDefault="005123BB" w:rsidP="005123BB">
      <w:pPr>
        <w:pStyle w:val="a8"/>
        <w:spacing w:line="400" w:lineRule="exact"/>
        <w:ind w:leftChars="133" w:left="319"/>
        <w:jc w:val="both"/>
        <w:rPr>
          <w:szCs w:val="28"/>
        </w:rPr>
      </w:pPr>
      <w:r>
        <w:rPr>
          <w:rFonts w:ascii="標楷體" w:hAnsi="標楷體" w:hint="eastAsia"/>
          <w:szCs w:val="28"/>
        </w:rPr>
        <w:t>（二）</w:t>
      </w:r>
      <w:r w:rsidRPr="005123BB">
        <w:rPr>
          <w:rFonts w:ascii="標楷體" w:hAnsi="標楷體" w:hint="eastAsia"/>
          <w:szCs w:val="28"/>
        </w:rPr>
        <w:t>投資</w:t>
      </w:r>
      <w:r w:rsidRPr="005123BB">
        <w:rPr>
          <w:rFonts w:ascii="標楷體" w:hAnsi="標楷體"/>
          <w:szCs w:val="28"/>
        </w:rPr>
        <w:t>人</w:t>
      </w:r>
      <w:r w:rsidR="001E687A" w:rsidRPr="005123BB">
        <w:rPr>
          <w:szCs w:val="28"/>
        </w:rPr>
        <w:t>為法人者，應由法人及其代表人在申請書上簽名或蓋</w:t>
      </w:r>
    </w:p>
    <w:p w:rsidR="001E687A" w:rsidRPr="005123BB" w:rsidRDefault="005123BB" w:rsidP="005123BB">
      <w:pPr>
        <w:pStyle w:val="a8"/>
        <w:spacing w:line="400" w:lineRule="exact"/>
        <w:ind w:leftChars="133" w:left="319"/>
        <w:jc w:val="both"/>
        <w:rPr>
          <w:szCs w:val="28"/>
        </w:rPr>
      </w:pPr>
      <w:r>
        <w:rPr>
          <w:rFonts w:hint="eastAsia"/>
          <w:szCs w:val="28"/>
        </w:rPr>
        <w:t xml:space="preserve">      </w:t>
      </w:r>
      <w:r w:rsidR="001E687A" w:rsidRPr="005123BB">
        <w:rPr>
          <w:szCs w:val="28"/>
        </w:rPr>
        <w:t>章，並出具授權書。</w:t>
      </w:r>
    </w:p>
    <w:p w:rsidR="005123BB" w:rsidRDefault="005123BB" w:rsidP="005123BB">
      <w:pPr>
        <w:pStyle w:val="a8"/>
        <w:spacing w:line="400" w:lineRule="exact"/>
        <w:ind w:leftChars="118" w:left="613" w:hangingChars="118" w:hanging="330"/>
        <w:jc w:val="both"/>
        <w:rPr>
          <w:szCs w:val="28"/>
        </w:rPr>
      </w:pPr>
      <w:r>
        <w:rPr>
          <w:rFonts w:hint="eastAsia"/>
          <w:szCs w:val="28"/>
        </w:rPr>
        <w:t>（三）</w:t>
      </w:r>
      <w:r w:rsidRPr="001E687A">
        <w:rPr>
          <w:rFonts w:ascii="標楷體" w:hAnsi="標楷體" w:hint="eastAsia"/>
          <w:szCs w:val="28"/>
        </w:rPr>
        <w:t>證券商</w:t>
      </w:r>
      <w:r w:rsidR="001E687A" w:rsidRPr="005123BB">
        <w:rPr>
          <w:szCs w:val="28"/>
        </w:rPr>
        <w:t>於受理</w:t>
      </w:r>
      <w:r w:rsidRPr="005123BB">
        <w:rPr>
          <w:rFonts w:ascii="標楷體" w:hAnsi="標楷體" w:hint="eastAsia"/>
          <w:szCs w:val="28"/>
        </w:rPr>
        <w:t>投資</w:t>
      </w:r>
      <w:r w:rsidRPr="005123BB">
        <w:rPr>
          <w:rFonts w:ascii="標楷體" w:hAnsi="標楷體"/>
          <w:szCs w:val="28"/>
        </w:rPr>
        <w:t>人</w:t>
      </w:r>
      <w:r w:rsidR="001E687A" w:rsidRPr="005123BB">
        <w:rPr>
          <w:szCs w:val="28"/>
        </w:rPr>
        <w:t>提出使用</w:t>
      </w:r>
      <w:r w:rsidR="001E687A" w:rsidRPr="005123BB">
        <w:rPr>
          <w:szCs w:val="28"/>
        </w:rPr>
        <w:t>API</w:t>
      </w:r>
      <w:r w:rsidR="001E687A" w:rsidRPr="005123BB">
        <w:rPr>
          <w:szCs w:val="28"/>
        </w:rPr>
        <w:t>服務之申請時，應由登記</w:t>
      </w:r>
    </w:p>
    <w:p w:rsidR="005123BB" w:rsidRDefault="005123BB" w:rsidP="005123BB">
      <w:pPr>
        <w:pStyle w:val="a8"/>
        <w:spacing w:line="400" w:lineRule="exact"/>
        <w:ind w:leftChars="118" w:left="613" w:hangingChars="118" w:hanging="330"/>
        <w:jc w:val="both"/>
        <w:rPr>
          <w:szCs w:val="28"/>
        </w:rPr>
      </w:pPr>
      <w:r>
        <w:rPr>
          <w:rFonts w:hint="eastAsia"/>
          <w:szCs w:val="28"/>
        </w:rPr>
        <w:t xml:space="preserve">      </w:t>
      </w:r>
      <w:r w:rsidR="001E687A" w:rsidRPr="005123BB">
        <w:rPr>
          <w:szCs w:val="28"/>
        </w:rPr>
        <w:t>合格之業務員向</w:t>
      </w:r>
      <w:r w:rsidRPr="005123BB">
        <w:rPr>
          <w:rFonts w:ascii="標楷體" w:hAnsi="標楷體" w:hint="eastAsia"/>
          <w:szCs w:val="28"/>
        </w:rPr>
        <w:t>投資</w:t>
      </w:r>
      <w:r w:rsidRPr="005123BB">
        <w:rPr>
          <w:rFonts w:ascii="標楷體" w:hAnsi="標楷體"/>
          <w:szCs w:val="28"/>
        </w:rPr>
        <w:t>人</w:t>
      </w:r>
      <w:r w:rsidR="001E687A" w:rsidRPr="005123BB">
        <w:rPr>
          <w:szCs w:val="28"/>
        </w:rPr>
        <w:t>詳盡說明有關使用</w:t>
      </w:r>
      <w:r w:rsidR="001E687A" w:rsidRPr="005123BB">
        <w:rPr>
          <w:szCs w:val="28"/>
        </w:rPr>
        <w:t>API</w:t>
      </w:r>
      <w:r w:rsidR="001E687A" w:rsidRPr="005123BB">
        <w:rPr>
          <w:szCs w:val="28"/>
        </w:rPr>
        <w:t>服務之注意</w:t>
      </w:r>
    </w:p>
    <w:p w:rsidR="005123BB" w:rsidRDefault="005123BB" w:rsidP="005123BB">
      <w:pPr>
        <w:pStyle w:val="a8"/>
        <w:spacing w:line="400" w:lineRule="exact"/>
        <w:ind w:leftChars="118" w:left="613" w:hangingChars="118" w:hanging="330"/>
        <w:jc w:val="both"/>
        <w:rPr>
          <w:szCs w:val="28"/>
        </w:rPr>
      </w:pPr>
      <w:r>
        <w:rPr>
          <w:rFonts w:hint="eastAsia"/>
          <w:szCs w:val="28"/>
        </w:rPr>
        <w:t xml:space="preserve">      </w:t>
      </w:r>
      <w:r w:rsidR="001E687A" w:rsidRPr="005123BB">
        <w:rPr>
          <w:szCs w:val="28"/>
        </w:rPr>
        <w:t>事項及各項權利義務關係</w:t>
      </w:r>
      <w:proofErr w:type="gramStart"/>
      <w:r w:rsidR="001E687A" w:rsidRPr="005123BB">
        <w:rPr>
          <w:szCs w:val="28"/>
        </w:rPr>
        <w:t>（</w:t>
      </w:r>
      <w:proofErr w:type="gramEnd"/>
      <w:r w:rsidR="001E687A" w:rsidRPr="005123BB">
        <w:rPr>
          <w:szCs w:val="28"/>
        </w:rPr>
        <w:t>包含使用</w:t>
      </w:r>
      <w:r w:rsidR="001E687A" w:rsidRPr="005123BB">
        <w:rPr>
          <w:szCs w:val="28"/>
        </w:rPr>
        <w:t>API</w:t>
      </w:r>
      <w:r w:rsidR="001E687A" w:rsidRPr="005123BB">
        <w:rPr>
          <w:szCs w:val="28"/>
        </w:rPr>
        <w:t>服務所可能產生之</w:t>
      </w:r>
    </w:p>
    <w:p w:rsidR="005123BB" w:rsidRDefault="005123BB" w:rsidP="005123BB">
      <w:pPr>
        <w:pStyle w:val="a8"/>
        <w:spacing w:line="400" w:lineRule="exact"/>
        <w:ind w:leftChars="118" w:left="613" w:hangingChars="118" w:hanging="330"/>
        <w:jc w:val="both"/>
        <w:rPr>
          <w:szCs w:val="28"/>
        </w:rPr>
      </w:pPr>
      <w:r>
        <w:rPr>
          <w:rFonts w:hint="eastAsia"/>
          <w:szCs w:val="28"/>
        </w:rPr>
        <w:t xml:space="preserve">      </w:t>
      </w:r>
      <w:r w:rsidR="001E687A" w:rsidRPr="005123BB">
        <w:rPr>
          <w:szCs w:val="28"/>
        </w:rPr>
        <w:t>相關風險及相關使用約定等），並經</w:t>
      </w:r>
      <w:r w:rsidRPr="005123BB">
        <w:rPr>
          <w:rFonts w:ascii="標楷體" w:hAnsi="標楷體" w:hint="eastAsia"/>
          <w:szCs w:val="28"/>
        </w:rPr>
        <w:t>投資</w:t>
      </w:r>
      <w:r w:rsidRPr="005123BB">
        <w:rPr>
          <w:rFonts w:ascii="標楷體" w:hAnsi="標楷體"/>
          <w:szCs w:val="28"/>
        </w:rPr>
        <w:t>人</w:t>
      </w:r>
      <w:r w:rsidR="001E687A" w:rsidRPr="005123BB">
        <w:rPr>
          <w:szCs w:val="28"/>
        </w:rPr>
        <w:t>出具聲明書確認</w:t>
      </w:r>
    </w:p>
    <w:p w:rsidR="005123BB" w:rsidRDefault="005123BB" w:rsidP="005123BB">
      <w:pPr>
        <w:pStyle w:val="a8"/>
        <w:spacing w:line="400" w:lineRule="exact"/>
        <w:ind w:leftChars="118" w:left="613" w:hangingChars="118" w:hanging="330"/>
        <w:jc w:val="both"/>
        <w:rPr>
          <w:szCs w:val="28"/>
        </w:rPr>
      </w:pPr>
      <w:r>
        <w:rPr>
          <w:rFonts w:hint="eastAsia"/>
          <w:szCs w:val="28"/>
        </w:rPr>
        <w:t xml:space="preserve">      </w:t>
      </w:r>
      <w:r w:rsidR="001E687A" w:rsidRPr="005123BB">
        <w:rPr>
          <w:szCs w:val="28"/>
        </w:rPr>
        <w:t>已受充分告知、閱讀並瞭解。上述聲明書應由</w:t>
      </w:r>
      <w:r w:rsidRPr="005123BB">
        <w:rPr>
          <w:rFonts w:ascii="標楷體" w:hAnsi="標楷體" w:hint="eastAsia"/>
          <w:szCs w:val="28"/>
        </w:rPr>
        <w:t>投資</w:t>
      </w:r>
      <w:r w:rsidRPr="005123BB">
        <w:rPr>
          <w:rFonts w:ascii="標楷體" w:hAnsi="標楷體"/>
          <w:szCs w:val="28"/>
        </w:rPr>
        <w:t>人</w:t>
      </w:r>
      <w:r w:rsidR="001E687A" w:rsidRPr="005123BB">
        <w:rPr>
          <w:szCs w:val="28"/>
        </w:rPr>
        <w:t>簽名或</w:t>
      </w:r>
    </w:p>
    <w:p w:rsidR="001E687A" w:rsidRPr="005123BB" w:rsidRDefault="005123BB" w:rsidP="005123BB">
      <w:pPr>
        <w:pStyle w:val="a8"/>
        <w:spacing w:line="400" w:lineRule="exact"/>
        <w:ind w:leftChars="118" w:left="613" w:hangingChars="118" w:hanging="330"/>
        <w:jc w:val="both"/>
        <w:rPr>
          <w:szCs w:val="28"/>
        </w:rPr>
      </w:pPr>
      <w:r>
        <w:rPr>
          <w:rFonts w:hint="eastAsia"/>
          <w:szCs w:val="28"/>
        </w:rPr>
        <w:t xml:space="preserve">      </w:t>
      </w:r>
      <w:r w:rsidR="001E687A" w:rsidRPr="005123BB">
        <w:rPr>
          <w:szCs w:val="28"/>
        </w:rPr>
        <w:t>蓋章確認並加註日期存執。</w:t>
      </w:r>
    </w:p>
    <w:p w:rsidR="003E7EB6" w:rsidRDefault="003E7EB6" w:rsidP="005123BB">
      <w:pPr>
        <w:pStyle w:val="a8"/>
        <w:spacing w:line="400" w:lineRule="exact"/>
        <w:ind w:leftChars="118" w:left="613" w:hangingChars="118" w:hanging="330"/>
        <w:jc w:val="both"/>
        <w:rPr>
          <w:szCs w:val="28"/>
        </w:rPr>
      </w:pPr>
      <w:r>
        <w:rPr>
          <w:rFonts w:hint="eastAsia"/>
          <w:szCs w:val="28"/>
        </w:rPr>
        <w:t>（四）</w:t>
      </w:r>
      <w:r w:rsidR="001E687A" w:rsidRPr="005123BB">
        <w:rPr>
          <w:szCs w:val="28"/>
        </w:rPr>
        <w:t>有關</w:t>
      </w:r>
      <w:r w:rsidR="005123BB" w:rsidRPr="005123BB">
        <w:rPr>
          <w:rFonts w:ascii="標楷體" w:hAnsi="標楷體" w:hint="eastAsia"/>
          <w:szCs w:val="28"/>
        </w:rPr>
        <w:t>投資</w:t>
      </w:r>
      <w:r w:rsidR="005123BB" w:rsidRPr="005123BB">
        <w:rPr>
          <w:rFonts w:ascii="標楷體" w:hAnsi="標楷體"/>
          <w:szCs w:val="28"/>
        </w:rPr>
        <w:t>人</w:t>
      </w:r>
      <w:r w:rsidR="001E687A" w:rsidRPr="005123BB">
        <w:rPr>
          <w:szCs w:val="28"/>
        </w:rPr>
        <w:t>所出具之聲明書內容，至少應聲明對下列事項已</w:t>
      </w:r>
    </w:p>
    <w:p w:rsidR="001E687A" w:rsidRDefault="003E7EB6" w:rsidP="005123BB">
      <w:pPr>
        <w:pStyle w:val="a8"/>
        <w:spacing w:line="400" w:lineRule="exact"/>
        <w:ind w:leftChars="118" w:left="613" w:hangingChars="118" w:hanging="330"/>
        <w:jc w:val="both"/>
        <w:rPr>
          <w:szCs w:val="28"/>
        </w:rPr>
      </w:pPr>
      <w:r>
        <w:rPr>
          <w:rFonts w:hint="eastAsia"/>
          <w:szCs w:val="28"/>
        </w:rPr>
        <w:t xml:space="preserve">      </w:t>
      </w:r>
      <w:r w:rsidR="001E687A" w:rsidRPr="005123BB">
        <w:rPr>
          <w:szCs w:val="28"/>
        </w:rPr>
        <w:t>充分暸解並遵循：</w:t>
      </w:r>
    </w:p>
    <w:p w:rsidR="001E687A" w:rsidRPr="005123BB" w:rsidRDefault="003E7EB6" w:rsidP="003E7EB6">
      <w:pPr>
        <w:pStyle w:val="a8"/>
        <w:spacing w:line="400" w:lineRule="exact"/>
        <w:ind w:leftChars="336" w:left="1136" w:hangingChars="118" w:hanging="330"/>
        <w:jc w:val="both"/>
        <w:rPr>
          <w:szCs w:val="28"/>
        </w:rPr>
      </w:pPr>
      <w:r>
        <w:rPr>
          <w:rFonts w:hint="eastAsia"/>
          <w:szCs w:val="28"/>
        </w:rPr>
        <w:t>1.</w:t>
      </w:r>
      <w:r w:rsidR="001E687A" w:rsidRPr="005123BB">
        <w:rPr>
          <w:szCs w:val="28"/>
        </w:rPr>
        <w:t>使用</w:t>
      </w:r>
      <w:r w:rsidR="001E687A" w:rsidRPr="005123BB">
        <w:rPr>
          <w:szCs w:val="28"/>
        </w:rPr>
        <w:t>API</w:t>
      </w:r>
      <w:r w:rsidR="001E687A" w:rsidRPr="005123BB">
        <w:rPr>
          <w:szCs w:val="28"/>
        </w:rPr>
        <w:t>服務下單所可能產生之相關風險，如因網路壅塞、斷電、斷線、電腦程式交易錯誤等所導致之風險。</w:t>
      </w:r>
    </w:p>
    <w:p w:rsidR="001E687A" w:rsidRPr="005123BB" w:rsidRDefault="003E7EB6" w:rsidP="003E7EB6">
      <w:pPr>
        <w:pStyle w:val="a8"/>
        <w:spacing w:line="400" w:lineRule="exact"/>
        <w:ind w:leftChars="336" w:left="1136" w:hangingChars="118" w:hanging="330"/>
        <w:jc w:val="both"/>
        <w:rPr>
          <w:szCs w:val="28"/>
        </w:rPr>
      </w:pPr>
      <w:r>
        <w:rPr>
          <w:rFonts w:hint="eastAsia"/>
          <w:szCs w:val="28"/>
        </w:rPr>
        <w:t>2.</w:t>
      </w:r>
      <w:r w:rsidR="001E687A" w:rsidRPr="005123BB">
        <w:rPr>
          <w:szCs w:val="28"/>
        </w:rPr>
        <w:t>使用</w:t>
      </w:r>
      <w:r w:rsidR="001E687A" w:rsidRPr="005123BB">
        <w:rPr>
          <w:szCs w:val="28"/>
        </w:rPr>
        <w:t>API</w:t>
      </w:r>
      <w:r w:rsidR="001E687A" w:rsidRPr="005123BB">
        <w:rPr>
          <w:szCs w:val="28"/>
        </w:rPr>
        <w:t>服務下單之</w:t>
      </w:r>
      <w:r w:rsidR="00043C5D">
        <w:rPr>
          <w:rFonts w:hint="eastAsia"/>
          <w:szCs w:val="28"/>
        </w:rPr>
        <w:t>投資</w:t>
      </w:r>
      <w:r w:rsidR="001E687A" w:rsidRPr="005123BB">
        <w:rPr>
          <w:szCs w:val="28"/>
        </w:rPr>
        <w:t>人應自行決定買賣之執行。</w:t>
      </w:r>
    </w:p>
    <w:p w:rsidR="001E687A" w:rsidRPr="005123BB" w:rsidRDefault="003E7EB6" w:rsidP="003E7EB6">
      <w:pPr>
        <w:pStyle w:val="a8"/>
        <w:spacing w:line="400" w:lineRule="exact"/>
        <w:ind w:leftChars="336" w:left="1136" w:hangingChars="118" w:hanging="330"/>
        <w:jc w:val="both"/>
        <w:rPr>
          <w:szCs w:val="28"/>
        </w:rPr>
      </w:pPr>
      <w:r>
        <w:rPr>
          <w:rFonts w:hint="eastAsia"/>
          <w:szCs w:val="28"/>
        </w:rPr>
        <w:t>3.</w:t>
      </w:r>
      <w:r w:rsidR="001E687A" w:rsidRPr="005123BB">
        <w:rPr>
          <w:szCs w:val="28"/>
        </w:rPr>
        <w:t>應妥善保管個人交易帳戶、網路登錄密碼及數位憑證</w:t>
      </w:r>
      <w:r w:rsidR="001E687A" w:rsidRPr="005123BB">
        <w:rPr>
          <w:szCs w:val="28"/>
        </w:rPr>
        <w:t>(</w:t>
      </w:r>
      <w:r w:rsidR="001E687A" w:rsidRPr="005123BB">
        <w:rPr>
          <w:szCs w:val="28"/>
        </w:rPr>
        <w:t>電子簽章</w:t>
      </w:r>
      <w:r w:rsidR="001E687A" w:rsidRPr="005123BB">
        <w:rPr>
          <w:szCs w:val="28"/>
        </w:rPr>
        <w:t>)</w:t>
      </w:r>
      <w:r w:rsidR="001E687A" w:rsidRPr="005123BB">
        <w:rPr>
          <w:szCs w:val="28"/>
        </w:rPr>
        <w:t>，不得交由第三人或資訊廠商從事未經核准之全權委託交易，以免發生交易糾紛。</w:t>
      </w:r>
    </w:p>
    <w:p w:rsidR="00EA3855" w:rsidRPr="00EA3855" w:rsidRDefault="003E7EB6" w:rsidP="009F47E2">
      <w:pPr>
        <w:pStyle w:val="a8"/>
        <w:spacing w:line="400" w:lineRule="exact"/>
        <w:ind w:leftChars="336" w:left="1136" w:hangingChars="118" w:hanging="330"/>
        <w:jc w:val="both"/>
        <w:rPr>
          <w:rFonts w:ascii="標楷體" w:hAnsi="標楷體"/>
          <w:sz w:val="32"/>
          <w:szCs w:val="32"/>
        </w:rPr>
      </w:pPr>
      <w:r>
        <w:rPr>
          <w:rFonts w:hint="eastAsia"/>
          <w:szCs w:val="28"/>
        </w:rPr>
        <w:t>4.</w:t>
      </w:r>
      <w:r w:rsidR="001E687A" w:rsidRPr="005123BB">
        <w:rPr>
          <w:szCs w:val="28"/>
        </w:rPr>
        <w:t>使用</w:t>
      </w:r>
      <w:r w:rsidR="001E687A" w:rsidRPr="005123BB">
        <w:rPr>
          <w:szCs w:val="28"/>
        </w:rPr>
        <w:t>API</w:t>
      </w:r>
      <w:r w:rsidR="001E687A" w:rsidRPr="005123BB">
        <w:rPr>
          <w:szCs w:val="28"/>
        </w:rPr>
        <w:t>服務下單除應遵循與</w:t>
      </w:r>
      <w:r w:rsidR="005123BB" w:rsidRPr="001E687A">
        <w:rPr>
          <w:rFonts w:ascii="標楷體" w:hAnsi="標楷體" w:hint="eastAsia"/>
          <w:szCs w:val="28"/>
        </w:rPr>
        <w:t>證券商</w:t>
      </w:r>
      <w:r w:rsidR="001E687A" w:rsidRPr="005123BB">
        <w:rPr>
          <w:szCs w:val="28"/>
        </w:rPr>
        <w:t>所訂之相關約定外，並不得為任何不</w:t>
      </w:r>
      <w:r w:rsidR="001E687A" w:rsidRPr="005123BB">
        <w:rPr>
          <w:bCs/>
          <w:szCs w:val="28"/>
        </w:rPr>
        <w:t>法之使用。</w:t>
      </w:r>
    </w:p>
    <w:p w:rsidR="003E7EB6" w:rsidRPr="00AC5FF7" w:rsidRDefault="003E7EB6" w:rsidP="00BB5440">
      <w:pPr>
        <w:spacing w:line="40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二</w:t>
      </w:r>
      <w:r w:rsidR="00E30EB2" w:rsidRPr="00EA3855">
        <w:rPr>
          <w:rFonts w:ascii="標楷體" w:eastAsia="標楷體" w:hAnsi="標楷體" w:hint="eastAsia"/>
          <w:sz w:val="28"/>
          <w:szCs w:val="28"/>
        </w:rPr>
        <w:t>、</w:t>
      </w:r>
      <w:r w:rsidR="00D27850" w:rsidRPr="00EA3855">
        <w:rPr>
          <w:rFonts w:ascii="標楷體" w:eastAsia="標楷體" w:hAnsi="標楷體"/>
          <w:sz w:val="28"/>
          <w:szCs w:val="28"/>
        </w:rPr>
        <w:t>核可標準</w:t>
      </w:r>
      <w:r w:rsidR="00397C7E">
        <w:rPr>
          <w:rFonts w:ascii="標楷體" w:eastAsia="標楷體" w:hAnsi="標楷體"/>
          <w:sz w:val="28"/>
          <w:szCs w:val="28"/>
        </w:rPr>
        <w:t>：</w:t>
      </w:r>
      <w:r w:rsidR="00C957D3">
        <w:rPr>
          <w:rFonts w:ascii="標楷體" w:eastAsia="標楷體" w:hAnsi="標楷體" w:hint="eastAsia"/>
          <w:sz w:val="28"/>
          <w:szCs w:val="28"/>
        </w:rPr>
        <w:t>由證券商自行訂定API申請資格。</w:t>
      </w:r>
    </w:p>
    <w:p w:rsidR="00D27850" w:rsidRPr="003E7EB6" w:rsidRDefault="003E7EB6" w:rsidP="003E7EB6">
      <w:pPr>
        <w:spacing w:line="400" w:lineRule="exact"/>
        <w:jc w:val="both"/>
        <w:rPr>
          <w:rFonts w:ascii="標楷體" w:eastAsia="標楷體" w:hAnsi="標楷體"/>
          <w:sz w:val="28"/>
          <w:szCs w:val="28"/>
        </w:rPr>
      </w:pPr>
      <w:r w:rsidRPr="003E7EB6">
        <w:rPr>
          <w:rFonts w:ascii="標楷體" w:eastAsia="標楷體" w:hAnsi="標楷體" w:hint="eastAsia"/>
          <w:sz w:val="28"/>
          <w:szCs w:val="28"/>
        </w:rPr>
        <w:t>三</w:t>
      </w:r>
      <w:r w:rsidR="00E30EB2" w:rsidRPr="003E7EB6">
        <w:rPr>
          <w:rFonts w:ascii="標楷體" w:eastAsia="標楷體" w:hAnsi="標楷體" w:hint="eastAsia"/>
          <w:sz w:val="28"/>
          <w:szCs w:val="28"/>
        </w:rPr>
        <w:t>、</w:t>
      </w:r>
      <w:r w:rsidR="00D27850" w:rsidRPr="003E7EB6">
        <w:rPr>
          <w:rFonts w:ascii="標楷體" w:eastAsia="標楷體" w:hAnsi="標楷體"/>
          <w:sz w:val="28"/>
          <w:szCs w:val="28"/>
        </w:rPr>
        <w:t>相關控管配套措施</w:t>
      </w:r>
    </w:p>
    <w:p w:rsidR="005C2CFE" w:rsidRDefault="00ED7432" w:rsidP="005E6622">
      <w:pPr>
        <w:pStyle w:val="a8"/>
        <w:spacing w:line="400" w:lineRule="exact"/>
        <w:ind w:leftChars="117" w:left="1132" w:hangingChars="304" w:hanging="851"/>
        <w:jc w:val="both"/>
        <w:rPr>
          <w:rFonts w:ascii="標楷體" w:hAnsi="標楷體"/>
          <w:szCs w:val="28"/>
        </w:rPr>
      </w:pPr>
      <w:r w:rsidRPr="00ED7432">
        <w:rPr>
          <w:rFonts w:ascii="標楷體" w:hAnsi="標楷體"/>
          <w:szCs w:val="28"/>
        </w:rPr>
        <w:t>（</w:t>
      </w:r>
      <w:r w:rsidRPr="00ED7432">
        <w:rPr>
          <w:rFonts w:ascii="標楷體" w:hAnsi="標楷體" w:hint="eastAsia"/>
          <w:szCs w:val="28"/>
        </w:rPr>
        <w:t>一</w:t>
      </w:r>
      <w:r w:rsidRPr="00ED7432">
        <w:rPr>
          <w:rFonts w:ascii="標楷體" w:hAnsi="標楷體"/>
          <w:szCs w:val="28"/>
        </w:rPr>
        <w:t>）</w:t>
      </w:r>
      <w:r w:rsidR="00D27850" w:rsidRPr="00382012">
        <w:rPr>
          <w:rFonts w:ascii="標楷體" w:hAnsi="標楷體" w:hint="eastAsia"/>
          <w:szCs w:val="28"/>
        </w:rPr>
        <w:t>證券</w:t>
      </w:r>
      <w:r w:rsidR="00D27850" w:rsidRPr="00382012">
        <w:rPr>
          <w:rFonts w:ascii="標楷體" w:hAnsi="標楷體"/>
          <w:szCs w:val="28"/>
        </w:rPr>
        <w:t>商應能區分使用API服務所傳送之委託，對於使用API服務下單與其他下單方式之委託應有公平之先後次序。</w:t>
      </w:r>
    </w:p>
    <w:p w:rsidR="005C2CFE" w:rsidRPr="00382012" w:rsidRDefault="005E6622" w:rsidP="005E6622">
      <w:pPr>
        <w:pStyle w:val="a8"/>
        <w:spacing w:line="400" w:lineRule="exact"/>
        <w:ind w:leftChars="117" w:left="1132" w:hangingChars="304" w:hanging="851"/>
        <w:jc w:val="both"/>
        <w:rPr>
          <w:rFonts w:ascii="標楷體" w:hAnsi="標楷體"/>
          <w:szCs w:val="28"/>
        </w:rPr>
      </w:pPr>
      <w:r>
        <w:rPr>
          <w:rFonts w:ascii="標楷體" w:hAnsi="標楷體" w:hint="eastAsia"/>
          <w:szCs w:val="28"/>
        </w:rPr>
        <w:t>（二）</w:t>
      </w:r>
      <w:r w:rsidR="00D27850" w:rsidRPr="00382012">
        <w:rPr>
          <w:rFonts w:ascii="標楷體" w:hAnsi="標楷體"/>
          <w:szCs w:val="28"/>
        </w:rPr>
        <w:t>對於</w:t>
      </w:r>
      <w:r w:rsidR="00D27850" w:rsidRPr="00382012">
        <w:rPr>
          <w:rFonts w:ascii="標楷體" w:hAnsi="標楷體" w:hint="eastAsia"/>
          <w:szCs w:val="28"/>
        </w:rPr>
        <w:t>投資</w:t>
      </w:r>
      <w:r w:rsidR="00D27850" w:rsidRPr="00382012">
        <w:rPr>
          <w:rFonts w:ascii="標楷體" w:hAnsi="標楷體"/>
          <w:szCs w:val="28"/>
        </w:rPr>
        <w:t>人使用API服務下單應訂定具體之異常標準及異常狀況處理程序，並確實執行。必要時得暫停</w:t>
      </w:r>
      <w:r w:rsidR="00A060A8" w:rsidRPr="005123BB">
        <w:rPr>
          <w:rFonts w:ascii="標楷體" w:hAnsi="標楷體" w:hint="eastAsia"/>
          <w:szCs w:val="28"/>
        </w:rPr>
        <w:t>投資</w:t>
      </w:r>
      <w:r w:rsidR="00A060A8" w:rsidRPr="005123BB">
        <w:rPr>
          <w:rFonts w:ascii="標楷體" w:hAnsi="標楷體"/>
          <w:szCs w:val="28"/>
        </w:rPr>
        <w:t>人</w:t>
      </w:r>
      <w:r w:rsidR="00D27850" w:rsidRPr="00382012">
        <w:rPr>
          <w:rFonts w:ascii="標楷體" w:hAnsi="標楷體"/>
          <w:szCs w:val="28"/>
        </w:rPr>
        <w:t>使用API服務下單，並通知</w:t>
      </w:r>
      <w:r w:rsidR="00A060A8" w:rsidRPr="005123BB">
        <w:rPr>
          <w:rFonts w:ascii="標楷體" w:hAnsi="標楷體" w:hint="eastAsia"/>
          <w:szCs w:val="28"/>
        </w:rPr>
        <w:t>投資</w:t>
      </w:r>
      <w:r w:rsidR="00A060A8" w:rsidRPr="005123BB">
        <w:rPr>
          <w:rFonts w:ascii="標楷體" w:hAnsi="標楷體"/>
          <w:szCs w:val="28"/>
        </w:rPr>
        <w:t>人</w:t>
      </w:r>
      <w:r w:rsidR="00D27850" w:rsidRPr="00382012">
        <w:rPr>
          <w:rFonts w:ascii="標楷體" w:hAnsi="標楷體"/>
          <w:szCs w:val="28"/>
        </w:rPr>
        <w:t>改用其他委託方式，至排除異常狀況後，再通知</w:t>
      </w:r>
      <w:r w:rsidR="00A060A8" w:rsidRPr="005123BB">
        <w:rPr>
          <w:rFonts w:ascii="標楷體" w:hAnsi="標楷體" w:hint="eastAsia"/>
          <w:szCs w:val="28"/>
        </w:rPr>
        <w:t>投資</w:t>
      </w:r>
      <w:r w:rsidR="00A060A8" w:rsidRPr="005123BB">
        <w:rPr>
          <w:rFonts w:ascii="標楷體" w:hAnsi="標楷體"/>
          <w:szCs w:val="28"/>
        </w:rPr>
        <w:t>人</w:t>
      </w:r>
      <w:r w:rsidR="00D27850" w:rsidRPr="00382012">
        <w:rPr>
          <w:rFonts w:ascii="標楷體" w:hAnsi="標楷體"/>
          <w:szCs w:val="28"/>
        </w:rPr>
        <w:t>得恢復使用API服務下單。</w:t>
      </w:r>
    </w:p>
    <w:p w:rsidR="00D27850" w:rsidRPr="00382012" w:rsidRDefault="005C2CFE" w:rsidP="005E6622">
      <w:pPr>
        <w:pStyle w:val="a8"/>
        <w:spacing w:line="400" w:lineRule="exact"/>
        <w:ind w:leftChars="117" w:left="1132" w:hangingChars="304" w:hanging="851"/>
        <w:jc w:val="both"/>
        <w:rPr>
          <w:rFonts w:ascii="標楷體" w:hAnsi="標楷體"/>
          <w:szCs w:val="28"/>
        </w:rPr>
      </w:pPr>
      <w:r w:rsidRPr="00382012">
        <w:rPr>
          <w:rFonts w:ascii="標楷體" w:hAnsi="標楷體" w:hint="eastAsia"/>
          <w:szCs w:val="28"/>
        </w:rPr>
        <w:t>（三）</w:t>
      </w:r>
      <w:r w:rsidR="00D27850" w:rsidRPr="00382012">
        <w:rPr>
          <w:rFonts w:ascii="標楷體" w:hAnsi="標楷體" w:hint="eastAsia"/>
          <w:szCs w:val="28"/>
        </w:rPr>
        <w:t>證券</w:t>
      </w:r>
      <w:r w:rsidR="00D27850" w:rsidRPr="00382012">
        <w:rPr>
          <w:rFonts w:ascii="標楷體" w:hAnsi="標楷體"/>
          <w:szCs w:val="28"/>
        </w:rPr>
        <w:t>商應於</w:t>
      </w:r>
      <w:r w:rsidR="00D27850" w:rsidRPr="00382012">
        <w:rPr>
          <w:rFonts w:ascii="標楷體" w:hAnsi="標楷體" w:hint="eastAsia"/>
          <w:szCs w:val="28"/>
        </w:rPr>
        <w:t>投資</w:t>
      </w:r>
      <w:r w:rsidR="00D27850" w:rsidRPr="00382012">
        <w:rPr>
          <w:rFonts w:ascii="標楷體" w:hAnsi="標楷體"/>
          <w:szCs w:val="28"/>
        </w:rPr>
        <w:t>人首次使用API委託下單前，就相關傳輸設</w:t>
      </w:r>
      <w:r w:rsidR="00D27850" w:rsidRPr="00382012">
        <w:rPr>
          <w:rFonts w:ascii="標楷體" w:hAnsi="標楷體"/>
          <w:szCs w:val="28"/>
        </w:rPr>
        <w:lastRenderedPageBreak/>
        <w:t>定進行連線測試，並留存相關測試紀錄。</w:t>
      </w:r>
    </w:p>
    <w:p w:rsidR="00D27850" w:rsidRDefault="005C2CFE" w:rsidP="005E6622">
      <w:pPr>
        <w:pStyle w:val="a8"/>
        <w:spacing w:line="400" w:lineRule="exact"/>
        <w:ind w:leftChars="117" w:left="1132" w:hangingChars="304" w:hanging="851"/>
        <w:jc w:val="both"/>
        <w:rPr>
          <w:rFonts w:ascii="標楷體" w:hAnsi="標楷體"/>
          <w:szCs w:val="28"/>
        </w:rPr>
      </w:pPr>
      <w:r w:rsidRPr="00382012">
        <w:rPr>
          <w:rFonts w:ascii="標楷體" w:hAnsi="標楷體" w:hint="eastAsia"/>
          <w:szCs w:val="28"/>
        </w:rPr>
        <w:t>（四）</w:t>
      </w:r>
      <w:r w:rsidR="00D27850" w:rsidRPr="00382012">
        <w:rPr>
          <w:rFonts w:ascii="標楷體" w:hAnsi="標楷體" w:hint="eastAsia"/>
          <w:szCs w:val="28"/>
        </w:rPr>
        <w:t>投資</w:t>
      </w:r>
      <w:r w:rsidR="00D27850" w:rsidRPr="00382012">
        <w:rPr>
          <w:rFonts w:ascii="標楷體" w:hAnsi="標楷體"/>
          <w:szCs w:val="28"/>
        </w:rPr>
        <w:t>人利用網際網路使用API服務下單前，必須通過網路下單帳號、網路登錄密碼及數位憑證（電子簽章）等身分驗證程序。</w:t>
      </w:r>
    </w:p>
    <w:p w:rsidR="00C70E6F" w:rsidRPr="008916AD" w:rsidRDefault="00C70E6F" w:rsidP="00735B5C">
      <w:pPr>
        <w:pStyle w:val="a8"/>
        <w:spacing w:line="400" w:lineRule="exact"/>
        <w:ind w:leftChars="117" w:left="1132" w:hangingChars="304" w:hanging="851"/>
        <w:jc w:val="both"/>
        <w:rPr>
          <w:rFonts w:ascii="標楷體" w:hAnsi="標楷體"/>
          <w:color w:val="000000" w:themeColor="text1"/>
        </w:rPr>
      </w:pPr>
      <w:r w:rsidRPr="008916AD">
        <w:rPr>
          <w:rFonts w:ascii="標楷體" w:hAnsi="標楷體" w:hint="eastAsia"/>
          <w:color w:val="000000" w:themeColor="text1"/>
          <w:szCs w:val="28"/>
        </w:rPr>
        <w:t>（五）</w:t>
      </w:r>
      <w:r w:rsidR="00DD747D" w:rsidRPr="008916AD">
        <w:rPr>
          <w:rFonts w:ascii="標楷體" w:hAnsi="標楷體" w:hint="eastAsia"/>
          <w:color w:val="000000" w:themeColor="text1"/>
          <w:szCs w:val="28"/>
        </w:rPr>
        <w:t>證券商</w:t>
      </w:r>
      <w:r w:rsidR="00DD747D" w:rsidRPr="008916AD">
        <w:rPr>
          <w:rFonts w:ascii="標楷體" w:hAnsi="標楷體"/>
          <w:color w:val="000000" w:themeColor="text1"/>
          <w:szCs w:val="28"/>
        </w:rPr>
        <w:t>提供客戶使用應用程式介面(API)服務</w:t>
      </w:r>
      <w:r w:rsidRPr="008916AD">
        <w:rPr>
          <w:rFonts w:ascii="標楷體" w:hAnsi="標楷體" w:hint="eastAsia"/>
          <w:color w:val="000000" w:themeColor="text1"/>
          <w:szCs w:val="28"/>
        </w:rPr>
        <w:t>係屬</w:t>
      </w:r>
      <w:r w:rsidR="001669DC" w:rsidRPr="008916AD">
        <w:rPr>
          <w:rFonts w:ascii="標楷體" w:hAnsi="標楷體" w:hint="eastAsia"/>
          <w:color w:val="000000" w:themeColor="text1"/>
          <w:szCs w:val="28"/>
        </w:rPr>
        <w:t>證券商電子式交易型態之</w:t>
      </w:r>
      <w:r w:rsidRPr="008916AD">
        <w:rPr>
          <w:rFonts w:ascii="標楷體" w:hAnsi="標楷體" w:hint="eastAsia"/>
          <w:color w:val="000000" w:themeColor="text1"/>
          <w:szCs w:val="28"/>
        </w:rPr>
        <w:t>網際網路</w:t>
      </w:r>
      <w:r w:rsidR="001669DC" w:rsidRPr="008916AD">
        <w:rPr>
          <w:rFonts w:ascii="標楷體" w:hAnsi="標楷體" w:hint="eastAsia"/>
          <w:color w:val="000000" w:themeColor="text1"/>
          <w:szCs w:val="28"/>
        </w:rPr>
        <w:t>委託買賣方式</w:t>
      </w:r>
      <w:r w:rsidRPr="008916AD">
        <w:rPr>
          <w:rFonts w:ascii="標楷體" w:hAnsi="標楷體" w:hint="eastAsia"/>
          <w:color w:val="000000" w:themeColor="text1"/>
          <w:szCs w:val="28"/>
        </w:rPr>
        <w:t>，應符合「</w:t>
      </w:r>
      <w:hyperlink r:id="rId7" w:history="1">
        <w:r w:rsidRPr="008916AD">
          <w:rPr>
            <w:rFonts w:ascii="標楷體" w:hAnsi="標楷體"/>
            <w:color w:val="000000" w:themeColor="text1"/>
            <w:szCs w:val="28"/>
          </w:rPr>
          <w:t>證券商</w:t>
        </w:r>
        <w:proofErr w:type="gramStart"/>
        <w:r w:rsidRPr="008916AD">
          <w:rPr>
            <w:rFonts w:ascii="標楷體" w:hAnsi="標楷體"/>
            <w:color w:val="000000" w:themeColor="text1"/>
            <w:szCs w:val="28"/>
          </w:rPr>
          <w:t>採</w:t>
        </w:r>
        <w:proofErr w:type="gramEnd"/>
        <w:r w:rsidRPr="008916AD">
          <w:rPr>
            <w:rFonts w:ascii="標楷體" w:hAnsi="標楷體"/>
            <w:color w:val="000000" w:themeColor="text1"/>
            <w:szCs w:val="28"/>
          </w:rPr>
          <w:t>網際網路等電子式交易型態交易所使用之交易主機應具備之相關受託買賣有價證券檢查點控制項目</w:t>
        </w:r>
      </w:hyperlink>
      <w:r w:rsidRPr="008916AD">
        <w:rPr>
          <w:rFonts w:ascii="標楷體" w:hAnsi="標楷體" w:hint="eastAsia"/>
          <w:color w:val="000000" w:themeColor="text1"/>
          <w:szCs w:val="28"/>
        </w:rPr>
        <w:t>」之規定</w:t>
      </w:r>
      <w:r w:rsidR="00041249" w:rsidRPr="008916AD">
        <w:rPr>
          <w:rFonts w:ascii="標楷體" w:hAnsi="標楷體" w:hint="eastAsia"/>
          <w:color w:val="000000" w:themeColor="text1"/>
          <w:szCs w:val="28"/>
        </w:rPr>
        <w:t>，</w:t>
      </w:r>
      <w:r w:rsidR="00735B5C" w:rsidRPr="008916AD">
        <w:rPr>
          <w:rFonts w:ascii="標楷體" w:hAnsi="標楷體"/>
          <w:color w:val="000000" w:themeColor="text1"/>
          <w:szCs w:val="28"/>
        </w:rPr>
        <w:t>確實遵循證券市場相關規定、落實資通安全與風險管控，不得有影響證券集中市場秩序與效率之行為。</w:t>
      </w:r>
    </w:p>
    <w:p w:rsidR="001E0337" w:rsidRPr="008916AD" w:rsidRDefault="001E0337" w:rsidP="005E6622">
      <w:pPr>
        <w:pStyle w:val="a8"/>
        <w:spacing w:line="400" w:lineRule="exact"/>
        <w:ind w:leftChars="117" w:left="1132" w:hangingChars="304" w:hanging="851"/>
        <w:jc w:val="both"/>
        <w:rPr>
          <w:rFonts w:ascii="標楷體" w:hAnsi="標楷體"/>
          <w:color w:val="000000" w:themeColor="text1"/>
        </w:rPr>
      </w:pPr>
      <w:r w:rsidRPr="008916AD">
        <w:rPr>
          <w:rFonts w:ascii="標楷體" w:hAnsi="標楷體" w:hint="eastAsia"/>
          <w:color w:val="000000" w:themeColor="text1"/>
          <w:szCs w:val="28"/>
        </w:rPr>
        <w:t>（六）</w:t>
      </w:r>
      <w:r w:rsidR="007C5806" w:rsidRPr="008916AD">
        <w:rPr>
          <w:rFonts w:ascii="標楷體" w:hAnsi="標楷體" w:hint="eastAsia"/>
          <w:color w:val="000000" w:themeColor="text1"/>
          <w:szCs w:val="28"/>
        </w:rPr>
        <w:t>投資人使用</w:t>
      </w:r>
      <w:r w:rsidR="007C5806" w:rsidRPr="008916AD">
        <w:rPr>
          <w:rFonts w:ascii="標楷體" w:hAnsi="標楷體"/>
          <w:color w:val="000000" w:themeColor="text1"/>
          <w:szCs w:val="28"/>
        </w:rPr>
        <w:t>應用程式介面(API)服務</w:t>
      </w:r>
      <w:r w:rsidR="007C5806" w:rsidRPr="008916AD">
        <w:rPr>
          <w:rFonts w:ascii="標楷體" w:hAnsi="標楷體" w:hint="eastAsia"/>
          <w:color w:val="000000" w:themeColor="text1"/>
          <w:szCs w:val="28"/>
        </w:rPr>
        <w:t>，其原始委託資料、條件觸發時之委託資料及憑證機構所簽發之電子簽章應由證券商予以完整保存，且於委託紀錄之委託方式中記載係以網際網路「</w:t>
      </w:r>
      <w:r w:rsidR="00E55017" w:rsidRPr="008916AD">
        <w:rPr>
          <w:rFonts w:ascii="標楷體" w:hAnsi="標楷體"/>
          <w:color w:val="000000" w:themeColor="text1"/>
          <w:szCs w:val="28"/>
        </w:rPr>
        <w:t>客戶使用應用程式介面(API)服務</w:t>
      </w:r>
      <w:r w:rsidR="007C5806" w:rsidRPr="008916AD">
        <w:rPr>
          <w:rFonts w:ascii="標楷體" w:hAnsi="標楷體" w:hint="eastAsia"/>
          <w:color w:val="000000" w:themeColor="text1"/>
          <w:szCs w:val="28"/>
        </w:rPr>
        <w:t>下單」以</w:t>
      </w:r>
      <w:r w:rsidR="00A060A8">
        <w:rPr>
          <w:rFonts w:ascii="標楷體" w:hAnsi="標楷體" w:hint="eastAsia"/>
          <w:color w:val="000000" w:themeColor="text1"/>
          <w:szCs w:val="28"/>
        </w:rPr>
        <w:t>資</w:t>
      </w:r>
      <w:r w:rsidR="007C5806" w:rsidRPr="008916AD">
        <w:rPr>
          <w:rFonts w:ascii="標楷體" w:hAnsi="標楷體" w:hint="eastAsia"/>
          <w:color w:val="000000" w:themeColor="text1"/>
          <w:szCs w:val="28"/>
        </w:rPr>
        <w:t>區別，前揭委託資料之電腦檔案委託紀錄及電腦稽核紀錄 (log)             之保存年限仍應依「證券經紀商使用網際網路等電子式交易型態製作買賣委託紀錄之處理流程」及「網際網路等電子式交易型態交易資料保存規範」之規定辦理。</w:t>
      </w:r>
    </w:p>
    <w:p w:rsidR="00FD2329" w:rsidRPr="008916AD" w:rsidRDefault="0022662C" w:rsidP="00FD2329">
      <w:pPr>
        <w:pStyle w:val="a8"/>
        <w:spacing w:line="400" w:lineRule="exact"/>
        <w:ind w:leftChars="117" w:left="1132" w:hangingChars="304" w:hanging="851"/>
        <w:jc w:val="both"/>
        <w:rPr>
          <w:rFonts w:ascii="標楷體" w:hAnsi="標楷體"/>
          <w:color w:val="000000" w:themeColor="text1"/>
        </w:rPr>
      </w:pPr>
      <w:r w:rsidRPr="008916AD">
        <w:rPr>
          <w:rFonts w:ascii="標楷體" w:hAnsi="標楷體" w:hint="eastAsia"/>
          <w:color w:val="000000" w:themeColor="text1"/>
          <w:szCs w:val="28"/>
        </w:rPr>
        <w:t>（七）</w:t>
      </w:r>
      <w:r w:rsidR="007C5806" w:rsidRPr="008916AD">
        <w:rPr>
          <w:rFonts w:ascii="標楷體" w:hAnsi="標楷體" w:hint="eastAsia"/>
          <w:color w:val="000000" w:themeColor="text1"/>
          <w:szCs w:val="28"/>
        </w:rPr>
        <w:t>證券商</w:t>
      </w:r>
      <w:r w:rsidR="007C5806" w:rsidRPr="008916AD">
        <w:rPr>
          <w:rFonts w:ascii="標楷體" w:hAnsi="標楷體"/>
          <w:color w:val="000000" w:themeColor="text1"/>
          <w:szCs w:val="28"/>
        </w:rPr>
        <w:t>提供客戶使用應用程式介面(API)服務，</w:t>
      </w:r>
      <w:r w:rsidR="007C5806" w:rsidRPr="008916AD">
        <w:rPr>
          <w:rFonts w:ascii="標楷體" w:hAnsi="標楷體" w:hint="eastAsia"/>
          <w:color w:val="000000" w:themeColor="text1"/>
          <w:szCs w:val="28"/>
        </w:rPr>
        <w:t>不得違反證交法第159條有關</w:t>
      </w:r>
      <w:r w:rsidR="007C5806" w:rsidRPr="008916AD">
        <w:rPr>
          <w:rFonts w:ascii="標楷體" w:hAnsi="標楷體"/>
          <w:color w:val="000000" w:themeColor="text1"/>
        </w:rPr>
        <w:t>全權委託禁止之</w:t>
      </w:r>
      <w:r w:rsidR="007C5806" w:rsidRPr="008916AD">
        <w:rPr>
          <w:rFonts w:ascii="標楷體" w:hAnsi="標楷體" w:hint="eastAsia"/>
          <w:color w:val="000000" w:themeColor="text1"/>
        </w:rPr>
        <w:t>規定。</w:t>
      </w:r>
    </w:p>
    <w:p w:rsidR="004D0846" w:rsidRPr="008916AD" w:rsidRDefault="004D0846" w:rsidP="00FD2329">
      <w:pPr>
        <w:pStyle w:val="a8"/>
        <w:spacing w:line="400" w:lineRule="exact"/>
        <w:ind w:leftChars="117" w:left="1132" w:hangingChars="304" w:hanging="851"/>
        <w:jc w:val="both"/>
        <w:rPr>
          <w:rFonts w:ascii="標楷體" w:hAnsi="標楷體"/>
          <w:color w:val="000000" w:themeColor="text1"/>
          <w:szCs w:val="28"/>
        </w:rPr>
      </w:pPr>
      <w:r w:rsidRPr="008916AD">
        <w:rPr>
          <w:rFonts w:ascii="標楷體" w:hAnsi="標楷體" w:hint="eastAsia"/>
          <w:color w:val="000000" w:themeColor="text1"/>
        </w:rPr>
        <w:t>（八）</w:t>
      </w:r>
      <w:r w:rsidR="00DD747D" w:rsidRPr="008916AD">
        <w:rPr>
          <w:rFonts w:ascii="標楷體" w:hAnsi="標楷體" w:hint="eastAsia"/>
          <w:color w:val="000000" w:themeColor="text1"/>
          <w:szCs w:val="28"/>
        </w:rPr>
        <w:t>證券商</w:t>
      </w:r>
      <w:r w:rsidR="00034BE5" w:rsidRPr="008916AD">
        <w:rPr>
          <w:rFonts w:ascii="標楷體" w:hAnsi="標楷體" w:hint="eastAsia"/>
          <w:color w:val="000000" w:themeColor="text1"/>
          <w:szCs w:val="28"/>
        </w:rPr>
        <w:t>若有提供</w:t>
      </w:r>
      <w:r w:rsidR="00034BE5" w:rsidRPr="008916AD">
        <w:rPr>
          <w:rFonts w:ascii="標楷體" w:hAnsi="標楷體"/>
          <w:color w:val="000000" w:themeColor="text1"/>
          <w:szCs w:val="28"/>
        </w:rPr>
        <w:t>交易資訊予其開戶之投資人</w:t>
      </w:r>
      <w:r w:rsidR="00034BE5" w:rsidRPr="008916AD">
        <w:rPr>
          <w:rFonts w:ascii="標楷體" w:hAnsi="標楷體" w:hint="eastAsia"/>
          <w:color w:val="000000" w:themeColor="text1"/>
          <w:szCs w:val="28"/>
        </w:rPr>
        <w:t>應依本公司「交易資訊使用管理辦法」之規定辦理。</w:t>
      </w:r>
    </w:p>
    <w:p w:rsidR="00BB5440" w:rsidRPr="008916AD" w:rsidRDefault="004D0846" w:rsidP="00BB5440">
      <w:pPr>
        <w:pStyle w:val="a8"/>
        <w:spacing w:line="400" w:lineRule="exact"/>
        <w:ind w:leftChars="117" w:left="1132" w:hangingChars="304" w:hanging="851"/>
        <w:jc w:val="both"/>
        <w:rPr>
          <w:rFonts w:ascii="標楷體" w:hAnsi="標楷體"/>
          <w:color w:val="000000" w:themeColor="text1"/>
          <w:szCs w:val="28"/>
        </w:rPr>
      </w:pPr>
      <w:r w:rsidRPr="008916AD">
        <w:rPr>
          <w:rFonts w:ascii="標楷體" w:hAnsi="標楷體"/>
          <w:color w:val="000000" w:themeColor="text1"/>
          <w:szCs w:val="28"/>
        </w:rPr>
        <w:t>（</w:t>
      </w:r>
      <w:r w:rsidRPr="008916AD">
        <w:rPr>
          <w:rFonts w:ascii="標楷體" w:hAnsi="標楷體" w:hint="eastAsia"/>
          <w:color w:val="000000" w:themeColor="text1"/>
          <w:szCs w:val="28"/>
        </w:rPr>
        <w:t>九</w:t>
      </w:r>
      <w:r w:rsidRPr="008916AD">
        <w:rPr>
          <w:rFonts w:ascii="標楷體" w:hAnsi="標楷體"/>
          <w:color w:val="000000" w:themeColor="text1"/>
          <w:szCs w:val="28"/>
        </w:rPr>
        <w:t>）</w:t>
      </w:r>
      <w:r w:rsidR="00BB5440" w:rsidRPr="008916AD">
        <w:rPr>
          <w:rFonts w:ascii="標楷體" w:hAnsi="標楷體" w:hint="eastAsia"/>
          <w:color w:val="000000" w:themeColor="text1"/>
        </w:rPr>
        <w:t>API服務下單交易相關資料，</w:t>
      </w:r>
      <w:r w:rsidR="00BB5440" w:rsidRPr="008916AD">
        <w:rPr>
          <w:rFonts w:ascii="標楷體" w:hAnsi="標楷體" w:hint="eastAsia"/>
          <w:color w:val="000000" w:themeColor="text1"/>
          <w:szCs w:val="28"/>
        </w:rPr>
        <w:t>證券商</w:t>
      </w:r>
      <w:r w:rsidR="00BB5440" w:rsidRPr="008916AD">
        <w:rPr>
          <w:rFonts w:ascii="標楷體" w:hAnsi="標楷體" w:hint="eastAsia"/>
          <w:color w:val="000000" w:themeColor="text1"/>
        </w:rPr>
        <w:t>應</w:t>
      </w:r>
      <w:proofErr w:type="gramStart"/>
      <w:r w:rsidR="00BB5440" w:rsidRPr="008916AD">
        <w:rPr>
          <w:rFonts w:ascii="標楷體" w:hAnsi="標楷體" w:hint="eastAsia"/>
          <w:color w:val="000000" w:themeColor="text1"/>
        </w:rPr>
        <w:t>併</w:t>
      </w:r>
      <w:proofErr w:type="gramEnd"/>
      <w:r w:rsidR="00BB5440" w:rsidRPr="008916AD">
        <w:rPr>
          <w:rFonts w:ascii="標楷體" w:hAnsi="標楷體" w:hint="eastAsia"/>
          <w:color w:val="000000" w:themeColor="text1"/>
        </w:rPr>
        <w:t>同網際網路及語音資料，</w:t>
      </w:r>
      <w:r w:rsidR="00BB5440" w:rsidRPr="00BB5440">
        <w:rPr>
          <w:rFonts w:ascii="標楷體" w:hAnsi="標楷體"/>
          <w:color w:val="000000" w:themeColor="text1"/>
        </w:rPr>
        <w:t>由單一窗口系統</w:t>
      </w:r>
      <w:r w:rsidR="00BB5440" w:rsidRPr="008916AD">
        <w:rPr>
          <w:rFonts w:ascii="標楷體" w:hAnsi="標楷體" w:hint="eastAsia"/>
          <w:color w:val="000000" w:themeColor="text1"/>
        </w:rPr>
        <w:t>於每月</w:t>
      </w:r>
      <w:r w:rsidR="00BB5440" w:rsidRPr="00BB5440">
        <w:rPr>
          <w:rFonts w:ascii="標楷體" w:hAnsi="標楷體"/>
          <w:color w:val="000000" w:themeColor="text1"/>
        </w:rPr>
        <w:t>前4個營業</w:t>
      </w:r>
      <w:r w:rsidR="00BB5440">
        <w:rPr>
          <w:rFonts w:ascii="標楷體" w:hAnsi="標楷體" w:hint="eastAsia"/>
          <w:color w:val="000000" w:themeColor="text1"/>
        </w:rPr>
        <w:t>日</w:t>
      </w:r>
      <w:r w:rsidR="00BB5440" w:rsidRPr="008916AD">
        <w:rPr>
          <w:rFonts w:ascii="標楷體" w:hAnsi="標楷體" w:hint="eastAsia"/>
          <w:color w:val="000000" w:themeColor="text1"/>
        </w:rPr>
        <w:t>申報。</w:t>
      </w:r>
    </w:p>
    <w:sectPr w:rsidR="00BB5440" w:rsidRPr="008916AD" w:rsidSect="001842E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A85" w:rsidRDefault="00716A85" w:rsidP="00D27850">
      <w:r>
        <w:separator/>
      </w:r>
    </w:p>
  </w:endnote>
  <w:endnote w:type="continuationSeparator" w:id="0">
    <w:p w:rsidR="00716A85" w:rsidRDefault="00716A85" w:rsidP="00D278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A85" w:rsidRDefault="00716A85" w:rsidP="00D27850">
      <w:r>
        <w:separator/>
      </w:r>
    </w:p>
  </w:footnote>
  <w:footnote w:type="continuationSeparator" w:id="0">
    <w:p w:rsidR="00716A85" w:rsidRDefault="00716A85" w:rsidP="00D278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B450F"/>
    <w:multiLevelType w:val="hybridMultilevel"/>
    <w:tmpl w:val="1512B424"/>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357508EC"/>
    <w:multiLevelType w:val="hybridMultilevel"/>
    <w:tmpl w:val="E82C87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98F03F6"/>
    <w:multiLevelType w:val="hybridMultilevel"/>
    <w:tmpl w:val="408205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850"/>
    <w:rsid w:val="00031CA9"/>
    <w:rsid w:val="00034BE5"/>
    <w:rsid w:val="00041249"/>
    <w:rsid w:val="00043C5D"/>
    <w:rsid w:val="00065501"/>
    <w:rsid w:val="000C4B89"/>
    <w:rsid w:val="000D2132"/>
    <w:rsid w:val="001535AB"/>
    <w:rsid w:val="001669DC"/>
    <w:rsid w:val="001842EA"/>
    <w:rsid w:val="00196976"/>
    <w:rsid w:val="001B46DE"/>
    <w:rsid w:val="001E0337"/>
    <w:rsid w:val="001E687A"/>
    <w:rsid w:val="001F67F1"/>
    <w:rsid w:val="0022662C"/>
    <w:rsid w:val="0025061E"/>
    <w:rsid w:val="002651F1"/>
    <w:rsid w:val="00270982"/>
    <w:rsid w:val="002B1DBA"/>
    <w:rsid w:val="002D52D7"/>
    <w:rsid w:val="002F1ADE"/>
    <w:rsid w:val="00317E67"/>
    <w:rsid w:val="003463F2"/>
    <w:rsid w:val="00376E93"/>
    <w:rsid w:val="00382012"/>
    <w:rsid w:val="00397C7E"/>
    <w:rsid w:val="003A15DD"/>
    <w:rsid w:val="003A471F"/>
    <w:rsid w:val="003B470C"/>
    <w:rsid w:val="003E7EB6"/>
    <w:rsid w:val="00424BFB"/>
    <w:rsid w:val="00464AAF"/>
    <w:rsid w:val="004D0846"/>
    <w:rsid w:val="004F54A4"/>
    <w:rsid w:val="00502940"/>
    <w:rsid w:val="005123BB"/>
    <w:rsid w:val="00531345"/>
    <w:rsid w:val="00595AD8"/>
    <w:rsid w:val="005C2CFE"/>
    <w:rsid w:val="005C5BF5"/>
    <w:rsid w:val="005E6622"/>
    <w:rsid w:val="005F6065"/>
    <w:rsid w:val="00676C2B"/>
    <w:rsid w:val="006A0DF1"/>
    <w:rsid w:val="006D1AC5"/>
    <w:rsid w:val="006F4DDC"/>
    <w:rsid w:val="00704A3A"/>
    <w:rsid w:val="00704DCB"/>
    <w:rsid w:val="00716A85"/>
    <w:rsid w:val="00735B5C"/>
    <w:rsid w:val="007C5806"/>
    <w:rsid w:val="007F20DA"/>
    <w:rsid w:val="008049BA"/>
    <w:rsid w:val="0081100E"/>
    <w:rsid w:val="00846306"/>
    <w:rsid w:val="0085214C"/>
    <w:rsid w:val="00881C62"/>
    <w:rsid w:val="00881CF7"/>
    <w:rsid w:val="0089076C"/>
    <w:rsid w:val="008916AD"/>
    <w:rsid w:val="008A32C8"/>
    <w:rsid w:val="008B44CB"/>
    <w:rsid w:val="00903028"/>
    <w:rsid w:val="0095628E"/>
    <w:rsid w:val="009651A5"/>
    <w:rsid w:val="00972D17"/>
    <w:rsid w:val="009957C0"/>
    <w:rsid w:val="009F47E2"/>
    <w:rsid w:val="009F6402"/>
    <w:rsid w:val="00A060A8"/>
    <w:rsid w:val="00A13B59"/>
    <w:rsid w:val="00A96274"/>
    <w:rsid w:val="00AA2C57"/>
    <w:rsid w:val="00AC5FF7"/>
    <w:rsid w:val="00AD148B"/>
    <w:rsid w:val="00B00F51"/>
    <w:rsid w:val="00B16B01"/>
    <w:rsid w:val="00B22DBD"/>
    <w:rsid w:val="00B25080"/>
    <w:rsid w:val="00B446FF"/>
    <w:rsid w:val="00BB157A"/>
    <w:rsid w:val="00BB5440"/>
    <w:rsid w:val="00C11BF3"/>
    <w:rsid w:val="00C46472"/>
    <w:rsid w:val="00C70E6F"/>
    <w:rsid w:val="00C92E09"/>
    <w:rsid w:val="00C957D3"/>
    <w:rsid w:val="00CE10F9"/>
    <w:rsid w:val="00CE4A46"/>
    <w:rsid w:val="00D27850"/>
    <w:rsid w:val="00D56F2B"/>
    <w:rsid w:val="00D575B8"/>
    <w:rsid w:val="00D8661F"/>
    <w:rsid w:val="00D94BA5"/>
    <w:rsid w:val="00DB3C7F"/>
    <w:rsid w:val="00DC5145"/>
    <w:rsid w:val="00DD3AB3"/>
    <w:rsid w:val="00DD747D"/>
    <w:rsid w:val="00E10BD2"/>
    <w:rsid w:val="00E30EB2"/>
    <w:rsid w:val="00E55017"/>
    <w:rsid w:val="00E66FF8"/>
    <w:rsid w:val="00E93C95"/>
    <w:rsid w:val="00EA3855"/>
    <w:rsid w:val="00ED7432"/>
    <w:rsid w:val="00F00897"/>
    <w:rsid w:val="00F51951"/>
    <w:rsid w:val="00F526ED"/>
    <w:rsid w:val="00F6554B"/>
    <w:rsid w:val="00F840A3"/>
    <w:rsid w:val="00FD2329"/>
    <w:rsid w:val="00FE0C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2E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7850"/>
    <w:pPr>
      <w:tabs>
        <w:tab w:val="center" w:pos="4153"/>
        <w:tab w:val="right" w:pos="8306"/>
      </w:tabs>
      <w:snapToGrid w:val="0"/>
    </w:pPr>
    <w:rPr>
      <w:sz w:val="20"/>
      <w:szCs w:val="20"/>
    </w:rPr>
  </w:style>
  <w:style w:type="character" w:customStyle="1" w:styleId="a4">
    <w:name w:val="頁首 字元"/>
    <w:basedOn w:val="a0"/>
    <w:link w:val="a3"/>
    <w:uiPriority w:val="99"/>
    <w:semiHidden/>
    <w:rsid w:val="00D27850"/>
    <w:rPr>
      <w:sz w:val="20"/>
      <w:szCs w:val="20"/>
    </w:rPr>
  </w:style>
  <w:style w:type="paragraph" w:styleId="a5">
    <w:name w:val="footer"/>
    <w:basedOn w:val="a"/>
    <w:link w:val="a6"/>
    <w:uiPriority w:val="99"/>
    <w:semiHidden/>
    <w:unhideWhenUsed/>
    <w:rsid w:val="00D27850"/>
    <w:pPr>
      <w:tabs>
        <w:tab w:val="center" w:pos="4153"/>
        <w:tab w:val="right" w:pos="8306"/>
      </w:tabs>
      <w:snapToGrid w:val="0"/>
    </w:pPr>
    <w:rPr>
      <w:sz w:val="20"/>
      <w:szCs w:val="20"/>
    </w:rPr>
  </w:style>
  <w:style w:type="character" w:customStyle="1" w:styleId="a6">
    <w:name w:val="頁尾 字元"/>
    <w:basedOn w:val="a0"/>
    <w:link w:val="a5"/>
    <w:uiPriority w:val="99"/>
    <w:semiHidden/>
    <w:rsid w:val="00D27850"/>
    <w:rPr>
      <w:sz w:val="20"/>
      <w:szCs w:val="20"/>
    </w:rPr>
  </w:style>
  <w:style w:type="paragraph" w:customStyle="1" w:styleId="1">
    <w:name w:val="1."/>
    <w:basedOn w:val="a"/>
    <w:rsid w:val="00D27850"/>
    <w:pPr>
      <w:kinsoku w:val="0"/>
      <w:adjustRightInd w:val="0"/>
      <w:snapToGrid w:val="0"/>
      <w:spacing w:before="120" w:after="120" w:line="500" w:lineRule="atLeast"/>
      <w:ind w:left="198" w:hanging="198"/>
      <w:jc w:val="both"/>
    </w:pPr>
    <w:rPr>
      <w:rFonts w:ascii="Times New Roman" w:eastAsia="標楷體" w:hAnsi="Times New Roman" w:cs="Times New Roman"/>
      <w:snapToGrid w:val="0"/>
      <w:kern w:val="0"/>
      <w:sz w:val="28"/>
      <w:szCs w:val="20"/>
    </w:rPr>
  </w:style>
  <w:style w:type="character" w:styleId="a7">
    <w:name w:val="Strong"/>
    <w:basedOn w:val="a0"/>
    <w:qFormat/>
    <w:rsid w:val="00D27850"/>
    <w:rPr>
      <w:b/>
      <w:bCs/>
    </w:rPr>
  </w:style>
  <w:style w:type="paragraph" w:styleId="a8">
    <w:name w:val="List Paragraph"/>
    <w:basedOn w:val="a"/>
    <w:uiPriority w:val="34"/>
    <w:qFormat/>
    <w:rsid w:val="00D27850"/>
    <w:pPr>
      <w:ind w:leftChars="200" w:left="480"/>
    </w:pPr>
    <w:rPr>
      <w:rFonts w:ascii="Times New Roman" w:eastAsia="標楷體" w:hAnsi="Times New Roman" w:cs="Times New Roman"/>
      <w:sz w:val="28"/>
      <w:szCs w:val="24"/>
    </w:rPr>
  </w:style>
  <w:style w:type="paragraph" w:styleId="HTML">
    <w:name w:val="HTML Preformatted"/>
    <w:basedOn w:val="a"/>
    <w:link w:val="HTML0"/>
    <w:uiPriority w:val="99"/>
    <w:unhideWhenUsed/>
    <w:rsid w:val="002266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22662C"/>
    <w:rPr>
      <w:rFonts w:ascii="細明體" w:eastAsia="細明體" w:hAnsi="細明體" w:cs="細明體"/>
      <w:color w:val="333333"/>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otlaw.com.tw/LawContent.aspx?LawID=A040390051057700-10308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0353</dc:creator>
  <cp:lastModifiedBy>00</cp:lastModifiedBy>
  <cp:revision>5</cp:revision>
  <cp:lastPrinted>2015-07-08T02:44:00Z</cp:lastPrinted>
  <dcterms:created xsi:type="dcterms:W3CDTF">2015-07-09T02:49:00Z</dcterms:created>
  <dcterms:modified xsi:type="dcterms:W3CDTF">2015-07-15T08:59:00Z</dcterms:modified>
</cp:coreProperties>
</file>