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06" w:rsidRPr="005F6BE2" w:rsidRDefault="003E7706" w:rsidP="00067CA5">
      <w:pPr>
        <w:spacing w:afterLines="100" w:line="500" w:lineRule="exact"/>
        <w:jc w:val="center"/>
        <w:rPr>
          <w:color w:val="000000"/>
        </w:rPr>
      </w:pPr>
      <w:r w:rsidRPr="005F6BE2">
        <w:rPr>
          <w:rFonts w:eastAsia="標楷體"/>
          <w:b/>
          <w:bCs/>
          <w:color w:val="000000"/>
          <w:sz w:val="36"/>
        </w:rPr>
        <w:t>臺灣證券交易所股份有限公司受益憑證流動量提供者</w:t>
      </w:r>
      <w:r w:rsidRPr="005F6BE2">
        <w:rPr>
          <w:rFonts w:eastAsia="標楷體" w:hint="eastAsia"/>
          <w:b/>
          <w:bCs/>
          <w:color w:val="000000"/>
          <w:sz w:val="36"/>
        </w:rPr>
        <w:t>作業要點</w:t>
      </w:r>
      <w:r w:rsidR="006D4048">
        <w:rPr>
          <w:rFonts w:eastAsia="標楷體" w:hint="eastAsia"/>
          <w:b/>
          <w:color w:val="000000"/>
          <w:sz w:val="36"/>
        </w:rPr>
        <w:t>第</w:t>
      </w:r>
      <w:r w:rsidR="00B44294">
        <w:rPr>
          <w:rFonts w:eastAsia="標楷體" w:hint="eastAsia"/>
          <w:b/>
          <w:color w:val="000000"/>
          <w:sz w:val="36"/>
        </w:rPr>
        <w:t>六</w:t>
      </w:r>
      <w:r w:rsidR="000123BD">
        <w:rPr>
          <w:rFonts w:eastAsia="標楷體" w:hint="eastAsia"/>
          <w:b/>
          <w:color w:val="000000"/>
          <w:sz w:val="36"/>
        </w:rPr>
        <w:t>點</w:t>
      </w:r>
      <w:r w:rsidR="006D4048">
        <w:rPr>
          <w:rFonts w:eastAsia="標楷體" w:hint="eastAsia"/>
          <w:b/>
          <w:color w:val="000000"/>
          <w:sz w:val="36"/>
        </w:rPr>
        <w:t>及第</w:t>
      </w:r>
      <w:r w:rsidR="00B44294">
        <w:rPr>
          <w:rFonts w:eastAsia="標楷體" w:hint="eastAsia"/>
          <w:b/>
          <w:color w:val="000000"/>
          <w:sz w:val="36"/>
        </w:rPr>
        <w:t>六</w:t>
      </w:r>
      <w:r w:rsidR="006D4048">
        <w:rPr>
          <w:rFonts w:eastAsia="標楷體" w:hint="eastAsia"/>
          <w:b/>
          <w:color w:val="000000"/>
          <w:sz w:val="36"/>
        </w:rPr>
        <w:t>之一</w:t>
      </w:r>
      <w:r w:rsidR="005C54B3">
        <w:rPr>
          <w:rFonts w:eastAsia="標楷體" w:hint="eastAsia"/>
          <w:b/>
          <w:color w:val="000000"/>
          <w:sz w:val="36"/>
        </w:rPr>
        <w:t>點</w:t>
      </w:r>
      <w:r w:rsidR="00FD2E8B">
        <w:rPr>
          <w:rFonts w:eastAsia="標楷體" w:hint="eastAsia"/>
          <w:b/>
          <w:color w:val="000000"/>
          <w:sz w:val="36"/>
        </w:rPr>
        <w:t>修正條文</w:t>
      </w:r>
      <w:r w:rsidRPr="005F6BE2">
        <w:rPr>
          <w:rFonts w:eastAsia="標楷體"/>
          <w:b/>
          <w:color w:val="000000"/>
          <w:sz w:val="36"/>
        </w:rPr>
        <w:t>對照表</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3685"/>
        <w:gridCol w:w="1843"/>
      </w:tblGrid>
      <w:tr w:rsidR="003E7706" w:rsidRPr="005F6BE2" w:rsidTr="00C120BB">
        <w:trPr>
          <w:cantSplit/>
          <w:tblHeader/>
        </w:trPr>
        <w:tc>
          <w:tcPr>
            <w:tcW w:w="3686" w:type="dxa"/>
            <w:tcBorders>
              <w:bottom w:val="single" w:sz="4" w:space="0" w:color="auto"/>
            </w:tcBorders>
            <w:vAlign w:val="center"/>
          </w:tcPr>
          <w:p w:rsidR="003E7706" w:rsidRPr="005F6BE2" w:rsidRDefault="003E7706" w:rsidP="00C120BB">
            <w:pPr>
              <w:spacing w:line="420" w:lineRule="exact"/>
              <w:jc w:val="center"/>
              <w:rPr>
                <w:rFonts w:eastAsia="標楷體"/>
                <w:b/>
                <w:bCs/>
                <w:color w:val="000000"/>
                <w:sz w:val="28"/>
              </w:rPr>
            </w:pPr>
            <w:r w:rsidRPr="005F6BE2">
              <w:rPr>
                <w:rFonts w:eastAsia="標楷體"/>
                <w:b/>
                <w:bCs/>
                <w:color w:val="000000"/>
                <w:sz w:val="28"/>
              </w:rPr>
              <w:t>修</w:t>
            </w:r>
            <w:r w:rsidRPr="005F6BE2">
              <w:rPr>
                <w:rFonts w:eastAsia="標楷體"/>
                <w:b/>
                <w:bCs/>
                <w:color w:val="000000"/>
                <w:sz w:val="28"/>
              </w:rPr>
              <w:t xml:space="preserve">  </w:t>
            </w:r>
            <w:r w:rsidRPr="005F6BE2">
              <w:rPr>
                <w:rFonts w:eastAsia="標楷體"/>
                <w:b/>
                <w:bCs/>
                <w:color w:val="000000"/>
                <w:sz w:val="28"/>
              </w:rPr>
              <w:t>正</w:t>
            </w:r>
            <w:r w:rsidRPr="005F6BE2">
              <w:rPr>
                <w:rFonts w:eastAsia="標楷體"/>
                <w:b/>
                <w:bCs/>
                <w:color w:val="000000"/>
                <w:sz w:val="28"/>
              </w:rPr>
              <w:t xml:space="preserve">  </w:t>
            </w:r>
            <w:r w:rsidRPr="005F6BE2">
              <w:rPr>
                <w:rFonts w:eastAsia="標楷體"/>
                <w:b/>
                <w:bCs/>
                <w:color w:val="000000"/>
                <w:sz w:val="28"/>
              </w:rPr>
              <w:t>條</w:t>
            </w:r>
            <w:r w:rsidRPr="005F6BE2">
              <w:rPr>
                <w:rFonts w:eastAsia="標楷體"/>
                <w:b/>
                <w:bCs/>
                <w:color w:val="000000"/>
                <w:sz w:val="28"/>
              </w:rPr>
              <w:t xml:space="preserve">  </w:t>
            </w:r>
            <w:r w:rsidRPr="005F6BE2">
              <w:rPr>
                <w:rFonts w:eastAsia="標楷體"/>
                <w:b/>
                <w:bCs/>
                <w:color w:val="000000"/>
                <w:sz w:val="28"/>
              </w:rPr>
              <w:t>文</w:t>
            </w:r>
          </w:p>
        </w:tc>
        <w:tc>
          <w:tcPr>
            <w:tcW w:w="3685" w:type="dxa"/>
            <w:tcBorders>
              <w:bottom w:val="single" w:sz="4" w:space="0" w:color="auto"/>
            </w:tcBorders>
            <w:vAlign w:val="center"/>
          </w:tcPr>
          <w:p w:rsidR="003E7706" w:rsidRPr="005F6BE2" w:rsidRDefault="003E7706" w:rsidP="00C120BB">
            <w:pPr>
              <w:spacing w:line="420" w:lineRule="exact"/>
              <w:jc w:val="center"/>
              <w:rPr>
                <w:rFonts w:eastAsia="標楷體"/>
                <w:b/>
                <w:bCs/>
                <w:color w:val="000000"/>
                <w:sz w:val="28"/>
              </w:rPr>
            </w:pPr>
            <w:r w:rsidRPr="005F6BE2">
              <w:rPr>
                <w:rFonts w:eastAsia="標楷體"/>
                <w:b/>
                <w:bCs/>
                <w:color w:val="000000"/>
                <w:sz w:val="28"/>
              </w:rPr>
              <w:t>現</w:t>
            </w:r>
            <w:r w:rsidRPr="005F6BE2">
              <w:rPr>
                <w:rFonts w:eastAsia="標楷體"/>
                <w:b/>
                <w:bCs/>
                <w:color w:val="000000"/>
                <w:sz w:val="28"/>
              </w:rPr>
              <w:t xml:space="preserve">   </w:t>
            </w:r>
            <w:r w:rsidRPr="005F6BE2">
              <w:rPr>
                <w:rFonts w:eastAsia="標楷體"/>
                <w:b/>
                <w:bCs/>
                <w:color w:val="000000"/>
                <w:sz w:val="28"/>
              </w:rPr>
              <w:t>行</w:t>
            </w:r>
            <w:r w:rsidRPr="005F6BE2">
              <w:rPr>
                <w:rFonts w:eastAsia="標楷體"/>
                <w:b/>
                <w:bCs/>
                <w:color w:val="000000"/>
                <w:sz w:val="28"/>
              </w:rPr>
              <w:t xml:space="preserve">   </w:t>
            </w:r>
            <w:r w:rsidRPr="005F6BE2">
              <w:rPr>
                <w:rFonts w:eastAsia="標楷體"/>
                <w:b/>
                <w:bCs/>
                <w:color w:val="000000"/>
                <w:sz w:val="28"/>
              </w:rPr>
              <w:t>條</w:t>
            </w:r>
            <w:r w:rsidRPr="005F6BE2">
              <w:rPr>
                <w:rFonts w:eastAsia="標楷體"/>
                <w:b/>
                <w:bCs/>
                <w:color w:val="000000"/>
                <w:sz w:val="28"/>
              </w:rPr>
              <w:t xml:space="preserve">   </w:t>
            </w:r>
            <w:r w:rsidRPr="005F6BE2">
              <w:rPr>
                <w:rFonts w:eastAsia="標楷體"/>
                <w:b/>
                <w:bCs/>
                <w:color w:val="000000"/>
                <w:sz w:val="28"/>
              </w:rPr>
              <w:t>文</w:t>
            </w:r>
          </w:p>
        </w:tc>
        <w:tc>
          <w:tcPr>
            <w:tcW w:w="1843" w:type="dxa"/>
            <w:tcBorders>
              <w:bottom w:val="single" w:sz="4" w:space="0" w:color="auto"/>
            </w:tcBorders>
            <w:vAlign w:val="center"/>
          </w:tcPr>
          <w:p w:rsidR="003E7706" w:rsidRPr="005F6BE2" w:rsidRDefault="003E7706" w:rsidP="00C120BB">
            <w:pPr>
              <w:spacing w:line="320" w:lineRule="exact"/>
              <w:jc w:val="center"/>
              <w:rPr>
                <w:rFonts w:eastAsia="標楷體"/>
                <w:b/>
                <w:bCs/>
                <w:color w:val="000000"/>
                <w:sz w:val="28"/>
              </w:rPr>
            </w:pPr>
            <w:r w:rsidRPr="005F6BE2">
              <w:rPr>
                <w:rFonts w:eastAsia="標楷體"/>
                <w:b/>
                <w:bCs/>
                <w:color w:val="000000"/>
                <w:sz w:val="28"/>
              </w:rPr>
              <w:t>說</w:t>
            </w:r>
            <w:r w:rsidRPr="005F6BE2">
              <w:rPr>
                <w:rFonts w:eastAsia="標楷體"/>
                <w:b/>
                <w:bCs/>
                <w:color w:val="000000"/>
                <w:sz w:val="28"/>
              </w:rPr>
              <w:t xml:space="preserve">   </w:t>
            </w:r>
            <w:r w:rsidRPr="005F6BE2">
              <w:rPr>
                <w:rFonts w:eastAsia="標楷體"/>
                <w:b/>
                <w:bCs/>
                <w:color w:val="000000"/>
                <w:sz w:val="28"/>
              </w:rPr>
              <w:t>明</w:t>
            </w:r>
          </w:p>
        </w:tc>
      </w:tr>
      <w:tr w:rsidR="007A2372" w:rsidRPr="00AF7129" w:rsidTr="00C120BB">
        <w:trPr>
          <w:trHeight w:val="2041"/>
        </w:trPr>
        <w:tc>
          <w:tcPr>
            <w:tcW w:w="3686" w:type="dxa"/>
            <w:tcBorders>
              <w:top w:val="single" w:sz="4" w:space="0" w:color="auto"/>
              <w:left w:val="single" w:sz="4" w:space="0" w:color="auto"/>
              <w:bottom w:val="single" w:sz="4" w:space="0" w:color="auto"/>
              <w:right w:val="single" w:sz="4" w:space="0" w:color="auto"/>
            </w:tcBorders>
          </w:tcPr>
          <w:p w:rsidR="007A2372" w:rsidRPr="0016039F" w:rsidRDefault="007A2372" w:rsidP="00397883">
            <w:pPr>
              <w:pStyle w:val="HTML"/>
              <w:ind w:left="538" w:hangingChars="224" w:hanging="538"/>
              <w:rPr>
                <w:rFonts w:ascii="Times New Roman" w:eastAsia="標楷體" w:hAnsi="Times New Roman"/>
                <w:color w:val="000000"/>
              </w:rPr>
            </w:pPr>
            <w:r w:rsidRPr="0016039F">
              <w:rPr>
                <w:rFonts w:ascii="Times New Roman" w:eastAsia="標楷體" w:hAnsi="標楷體"/>
                <w:color w:val="000000"/>
              </w:rPr>
              <w:t>陸、提供市場流動契約對流動量提供者之責任義務至少應規範下列事項</w:t>
            </w:r>
            <w:r w:rsidR="000475D9" w:rsidRPr="000475D9">
              <w:rPr>
                <w:rFonts w:ascii="Times New Roman" w:eastAsia="標楷體" w:hAnsi="標楷體" w:hint="eastAsia"/>
                <w:color w:val="000000"/>
                <w:u w:val="single"/>
              </w:rPr>
              <w:t>（</w:t>
            </w:r>
            <w:r w:rsidR="000475D9">
              <w:rPr>
                <w:rFonts w:ascii="Times New Roman" w:eastAsia="標楷體" w:hAnsi="標楷體" w:hint="eastAsia"/>
                <w:color w:val="000000"/>
                <w:u w:val="single"/>
              </w:rPr>
              <w:t>以下標準均應含開市前三十分鐘</w:t>
            </w:r>
            <w:r w:rsidR="00A44AFF">
              <w:rPr>
                <w:rFonts w:ascii="Times New Roman" w:eastAsia="標楷體" w:hAnsi="標楷體" w:hint="eastAsia"/>
                <w:color w:val="000000"/>
                <w:u w:val="single"/>
              </w:rPr>
              <w:t>及收市前一段時間</w:t>
            </w:r>
            <w:r w:rsidR="000475D9">
              <w:rPr>
                <w:rFonts w:ascii="Times New Roman" w:eastAsia="標楷體" w:hAnsi="標楷體" w:hint="eastAsia"/>
                <w:color w:val="000000"/>
                <w:u w:val="single"/>
              </w:rPr>
              <w:t>之</w:t>
            </w:r>
            <w:r w:rsidR="0000751A">
              <w:rPr>
                <w:rFonts w:ascii="Times New Roman" w:eastAsia="標楷體" w:hAnsi="標楷體" w:hint="eastAsia"/>
                <w:color w:val="000000"/>
                <w:u w:val="single"/>
              </w:rPr>
              <w:t>試算撮合盤數、</w:t>
            </w:r>
            <w:r w:rsidR="000475D9">
              <w:rPr>
                <w:rFonts w:ascii="Times New Roman" w:eastAsia="標楷體" w:hAnsi="標楷體" w:hint="eastAsia"/>
                <w:color w:val="000000"/>
                <w:u w:val="single"/>
              </w:rPr>
              <w:t>試算成交價及試算</w:t>
            </w:r>
            <w:r w:rsidR="003E0B8A">
              <w:rPr>
                <w:rFonts w:ascii="Times New Roman" w:eastAsia="標楷體" w:hAnsi="標楷體" w:hint="eastAsia"/>
                <w:color w:val="000000"/>
                <w:u w:val="single"/>
              </w:rPr>
              <w:t>未成交之申報</w:t>
            </w:r>
            <w:r w:rsidR="000475D9">
              <w:rPr>
                <w:rFonts w:ascii="Times New Roman" w:eastAsia="標楷體" w:hAnsi="標楷體" w:hint="eastAsia"/>
                <w:color w:val="000000"/>
                <w:u w:val="single"/>
              </w:rPr>
              <w:t>價格</w:t>
            </w:r>
            <w:r w:rsidR="000475D9" w:rsidRPr="000475D9">
              <w:rPr>
                <w:rFonts w:ascii="Times New Roman" w:eastAsia="標楷體" w:hAnsi="標楷體" w:hint="eastAsia"/>
                <w:color w:val="000000"/>
                <w:u w:val="single"/>
              </w:rPr>
              <w:t>）</w:t>
            </w:r>
            <w:r w:rsidRPr="0016039F">
              <w:rPr>
                <w:rFonts w:ascii="Times New Roman" w:eastAsia="標楷體" w:hAnsi="標楷體"/>
                <w:color w:val="000000"/>
              </w:rPr>
              <w:t>：</w:t>
            </w: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一、該</w:t>
            </w:r>
            <w:r w:rsidRPr="0016039F">
              <w:rPr>
                <w:rFonts w:ascii="Times New Roman" w:eastAsia="標楷體" w:hAnsi="Times New Roman"/>
                <w:color w:val="000000"/>
              </w:rPr>
              <w:t xml:space="preserve"> ETF</w:t>
            </w:r>
            <w:r w:rsidRPr="0016039F">
              <w:rPr>
                <w:rFonts w:ascii="Times New Roman" w:eastAsia="標楷體" w:hAnsi="標楷體"/>
                <w:color w:val="000000"/>
              </w:rPr>
              <w:t>於本公司有價證券集中交易市場所揭示之最佳一檔買賣價差範圍，其計算公式如下：</w:t>
            </w:r>
          </w:p>
          <w:p w:rsidR="007A2372" w:rsidRPr="0016039F" w:rsidRDefault="007A2372" w:rsidP="00C120BB">
            <w:pPr>
              <w:pStyle w:val="HTML"/>
              <w:rPr>
                <w:rFonts w:ascii="Times New Roman" w:eastAsia="標楷體" w:hAnsi="Times New Roman"/>
                <w:color w:val="000000"/>
              </w:rPr>
            </w:pPr>
            <w:r w:rsidRPr="0016039F">
              <w:rPr>
                <w:rFonts w:ascii="Times New Roman" w:eastAsia="標楷體" w:hAnsi="標楷體"/>
                <w:color w:val="000000"/>
              </w:rPr>
              <w:t>（最佳一檔買賣價差）＝</w:t>
            </w:r>
            <w:r w:rsidRPr="0016039F">
              <w:rPr>
                <w:rFonts w:ascii="Times New Roman" w:eastAsia="標楷體" w:hAnsi="Times New Roman"/>
                <w:color w:val="000000"/>
              </w:rPr>
              <w:t xml:space="preserve"> [</w:t>
            </w:r>
            <w:r w:rsidRPr="0016039F">
              <w:rPr>
                <w:rFonts w:ascii="Times New Roman" w:eastAsia="標楷體" w:hAnsi="標楷體"/>
                <w:color w:val="000000"/>
              </w:rPr>
              <w:t>（未成交之最低賣出申報價格）－（未成交之最高買進申報價格）</w:t>
            </w:r>
            <w:r w:rsidRPr="0016039F">
              <w:rPr>
                <w:rFonts w:ascii="Times New Roman" w:eastAsia="標楷體" w:hAnsi="Times New Roman"/>
                <w:color w:val="000000"/>
              </w:rPr>
              <w:t xml:space="preserve"> ]</w:t>
            </w:r>
            <w:r w:rsidRPr="0016039F">
              <w:rPr>
                <w:rFonts w:ascii="Times New Roman" w:eastAsia="標楷體" w:hAnsi="標楷體"/>
                <w:color w:val="000000"/>
              </w:rPr>
              <w:t>／（未成交之最低賣出申報價格）。</w:t>
            </w: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二、流動量提供者對該</w:t>
            </w:r>
            <w:r w:rsidRPr="0016039F">
              <w:rPr>
                <w:rFonts w:ascii="Times New Roman" w:eastAsia="標楷體" w:hAnsi="Times New Roman"/>
                <w:color w:val="000000"/>
              </w:rPr>
              <w:t>ETF</w:t>
            </w:r>
            <w:r w:rsidRPr="0016039F">
              <w:rPr>
                <w:rFonts w:ascii="Times New Roman" w:eastAsia="標楷體" w:hAnsi="標楷體"/>
                <w:color w:val="000000"/>
              </w:rPr>
              <w:t>之最少參與撮合盤數，所稱參與撮合</w:t>
            </w:r>
            <w:proofErr w:type="gramStart"/>
            <w:r w:rsidRPr="0016039F">
              <w:rPr>
                <w:rFonts w:ascii="Times New Roman" w:eastAsia="標楷體" w:hAnsi="標楷體"/>
                <w:color w:val="000000"/>
              </w:rPr>
              <w:t>盤數係指</w:t>
            </w:r>
            <w:proofErr w:type="gramEnd"/>
            <w:r w:rsidRPr="0016039F">
              <w:rPr>
                <w:rFonts w:ascii="Times New Roman" w:eastAsia="標楷體" w:hAnsi="標楷體"/>
                <w:color w:val="000000"/>
              </w:rPr>
              <w:t>買進、賣出委託，其價格均介於前一次未成交之最低賣出申報價格以上特定範圍及未成交之最高買進申報價格以下特定範圍或成交價上下特定範圍內，參與本公司交易系統撮合之最少次數，針對參與上揭撮合盤數計算之買進及賣出申報應訂定最低數量標準。</w:t>
            </w: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三、流動量提供者於遇該</w:t>
            </w:r>
            <w:r w:rsidRPr="0016039F">
              <w:rPr>
                <w:rFonts w:ascii="Times New Roman" w:eastAsia="標楷體" w:hAnsi="Times New Roman"/>
                <w:color w:val="000000"/>
              </w:rPr>
              <w:t>ETF</w:t>
            </w:r>
            <w:r w:rsidRPr="0016039F">
              <w:rPr>
                <w:rFonts w:ascii="Times New Roman" w:eastAsia="標楷體" w:hAnsi="標楷體"/>
                <w:color w:val="000000"/>
              </w:rPr>
              <w:t>有本公司營業細則第</w:t>
            </w:r>
            <w:r w:rsidR="00F62125" w:rsidRPr="00F62125">
              <w:rPr>
                <w:rFonts w:ascii="Times New Roman" w:eastAsia="標楷體" w:hAnsi="Times New Roman" w:hint="eastAsia"/>
                <w:color w:val="000000"/>
                <w:u w:val="single"/>
              </w:rPr>
              <w:t>五十八</w:t>
            </w:r>
            <w:r w:rsidRPr="0016039F">
              <w:rPr>
                <w:rFonts w:ascii="Times New Roman" w:eastAsia="標楷體" w:hAnsi="標楷體"/>
                <w:color w:val="000000"/>
              </w:rPr>
              <w:t>條之</w:t>
            </w:r>
            <w:r w:rsidR="00F62125" w:rsidRPr="00F62125">
              <w:rPr>
                <w:rFonts w:ascii="Times New Roman" w:eastAsia="標楷體" w:hAnsi="Times New Roman" w:hint="eastAsia"/>
                <w:color w:val="000000"/>
                <w:u w:val="single"/>
              </w:rPr>
              <w:t>三</w:t>
            </w:r>
            <w:r w:rsidRPr="0016039F">
              <w:rPr>
                <w:rFonts w:ascii="Times New Roman" w:eastAsia="標楷體" w:hAnsi="標楷體"/>
                <w:color w:val="000000"/>
              </w:rPr>
              <w:t>第四項</w:t>
            </w:r>
            <w:r w:rsidR="00246BB0" w:rsidRPr="00246BB0">
              <w:rPr>
                <w:rFonts w:ascii="Times New Roman" w:eastAsia="標楷體" w:hAnsi="標楷體" w:hint="eastAsia"/>
                <w:color w:val="000000"/>
                <w:u w:val="single"/>
              </w:rPr>
              <w:t>及第五項</w:t>
            </w:r>
            <w:r w:rsidRPr="0016039F">
              <w:rPr>
                <w:rFonts w:ascii="Times New Roman" w:eastAsia="標楷體" w:hAnsi="標楷體"/>
                <w:color w:val="000000"/>
              </w:rPr>
              <w:t>之情事時，必須於延緩撮合期間申報買進及賣出委託之最低數量標準。</w:t>
            </w: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四、該</w:t>
            </w:r>
            <w:r w:rsidRPr="0016039F">
              <w:rPr>
                <w:rFonts w:ascii="Times New Roman" w:eastAsia="標楷體" w:hAnsi="Times New Roman"/>
                <w:color w:val="000000"/>
              </w:rPr>
              <w:t>ETF</w:t>
            </w:r>
            <w:r w:rsidRPr="0016039F">
              <w:rPr>
                <w:rFonts w:ascii="Times New Roman" w:eastAsia="標楷體" w:hAnsi="標楷體"/>
                <w:color w:val="000000"/>
              </w:rPr>
              <w:t>價格除漲停或跌停者外，市場行情揭示僅有買進或賣出價格之持續時間限制，</w:t>
            </w:r>
            <w:proofErr w:type="gramStart"/>
            <w:r w:rsidRPr="0016039F">
              <w:rPr>
                <w:rFonts w:ascii="Times New Roman" w:eastAsia="標楷體" w:hAnsi="標楷體"/>
                <w:color w:val="000000"/>
              </w:rPr>
              <w:t>惟</w:t>
            </w:r>
            <w:r w:rsidRPr="0016039F">
              <w:rPr>
                <w:rFonts w:ascii="Times New Roman" w:eastAsia="標楷體" w:hAnsi="標楷體"/>
                <w:color w:val="000000"/>
              </w:rPr>
              <w:lastRenderedPageBreak/>
              <w:t>遇有</w:t>
            </w:r>
            <w:proofErr w:type="gramEnd"/>
            <w:r w:rsidRPr="0016039F">
              <w:rPr>
                <w:rFonts w:ascii="Times New Roman" w:eastAsia="標楷體" w:hAnsi="標楷體"/>
                <w:color w:val="000000"/>
              </w:rPr>
              <w:t>本公司營業細則第</w:t>
            </w:r>
            <w:r w:rsidR="004B4E87" w:rsidRPr="004B4E87">
              <w:rPr>
                <w:rFonts w:ascii="Times New Roman" w:eastAsia="標楷體" w:hAnsi="Times New Roman" w:hint="eastAsia"/>
                <w:color w:val="000000"/>
                <w:u w:val="single"/>
              </w:rPr>
              <w:t>五十八</w:t>
            </w:r>
            <w:r w:rsidRPr="0016039F">
              <w:rPr>
                <w:rFonts w:ascii="Times New Roman" w:eastAsia="標楷體" w:hAnsi="標楷體"/>
                <w:color w:val="000000"/>
              </w:rPr>
              <w:t>條之</w:t>
            </w:r>
            <w:r w:rsidR="004B4E87" w:rsidRPr="004B4E87">
              <w:rPr>
                <w:rFonts w:ascii="Times New Roman" w:eastAsia="標楷體" w:hAnsi="Times New Roman" w:hint="eastAsia"/>
                <w:color w:val="000000"/>
                <w:u w:val="single"/>
              </w:rPr>
              <w:t>三</w:t>
            </w:r>
            <w:r w:rsidRPr="0016039F">
              <w:rPr>
                <w:rFonts w:ascii="Times New Roman" w:eastAsia="標楷體" w:hAnsi="標楷體"/>
                <w:color w:val="000000"/>
              </w:rPr>
              <w:t>第四項</w:t>
            </w:r>
            <w:r w:rsidR="0066237B" w:rsidRPr="00246BB0">
              <w:rPr>
                <w:rFonts w:ascii="Times New Roman" w:eastAsia="標楷體" w:hAnsi="標楷體" w:hint="eastAsia"/>
                <w:color w:val="000000"/>
                <w:u w:val="single"/>
              </w:rPr>
              <w:t>及第五項</w:t>
            </w:r>
            <w:r w:rsidRPr="0016039F">
              <w:rPr>
                <w:rFonts w:ascii="Times New Roman" w:eastAsia="標楷體" w:hAnsi="標楷體"/>
                <w:color w:val="000000"/>
              </w:rPr>
              <w:t>之情事，須延緩撮合時間時，得排除前項時間計算。</w:t>
            </w:r>
          </w:p>
          <w:p w:rsidR="007A2372" w:rsidRPr="005F6BE2" w:rsidRDefault="007A2372" w:rsidP="00C12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rPr>
            </w:pPr>
            <w:r w:rsidRPr="0016039F">
              <w:rPr>
                <w:rFonts w:eastAsia="標楷體" w:hAnsi="標楷體"/>
                <w:color w:val="000000"/>
              </w:rPr>
              <w:t>五、同意本公司將流動量提供者</w:t>
            </w:r>
            <w:r w:rsidRPr="0016039F">
              <w:rPr>
                <w:rFonts w:eastAsia="標楷體"/>
                <w:color w:val="000000"/>
              </w:rPr>
              <w:t>ETF</w:t>
            </w:r>
            <w:r w:rsidRPr="0016039F">
              <w:rPr>
                <w:rFonts w:eastAsia="標楷體" w:hAnsi="標楷體"/>
                <w:color w:val="000000"/>
              </w:rPr>
              <w:t>專戶中就該</w:t>
            </w:r>
            <w:r w:rsidRPr="0016039F">
              <w:rPr>
                <w:rFonts w:eastAsia="標楷體"/>
                <w:color w:val="000000"/>
              </w:rPr>
              <w:t>ETF</w:t>
            </w:r>
            <w:r w:rsidRPr="0016039F">
              <w:rPr>
                <w:rFonts w:eastAsia="標楷體" w:hAnsi="標楷體"/>
                <w:color w:val="000000"/>
              </w:rPr>
              <w:t>所有買賣申報及成交明細提供予投信事業</w:t>
            </w:r>
            <w:r w:rsidRPr="0066237B">
              <w:rPr>
                <w:rFonts w:eastAsia="標楷體" w:hAnsi="標楷體" w:hint="eastAsia"/>
                <w:color w:val="000000"/>
              </w:rPr>
              <w:t>、</w:t>
            </w:r>
            <w:proofErr w:type="gramStart"/>
            <w:r w:rsidRPr="0066237B">
              <w:rPr>
                <w:rFonts w:eastAsia="標楷體" w:hAnsi="標楷體" w:hint="eastAsia"/>
                <w:color w:val="000000"/>
              </w:rPr>
              <w:t>期信事業</w:t>
            </w:r>
            <w:proofErr w:type="gramEnd"/>
            <w:r w:rsidRPr="0016039F">
              <w:rPr>
                <w:rFonts w:eastAsia="標楷體" w:hAnsi="標楷體"/>
                <w:color w:val="000000"/>
              </w:rPr>
              <w:t>或境外基金總代理人。</w:t>
            </w:r>
          </w:p>
        </w:tc>
        <w:tc>
          <w:tcPr>
            <w:tcW w:w="3685" w:type="dxa"/>
            <w:tcBorders>
              <w:top w:val="single" w:sz="4" w:space="0" w:color="auto"/>
              <w:left w:val="single" w:sz="4" w:space="0" w:color="auto"/>
              <w:bottom w:val="single" w:sz="4" w:space="0" w:color="auto"/>
              <w:right w:val="single" w:sz="4" w:space="0" w:color="auto"/>
            </w:tcBorders>
          </w:tcPr>
          <w:p w:rsidR="007A2372" w:rsidRPr="0016039F" w:rsidRDefault="007A2372" w:rsidP="00397883">
            <w:pPr>
              <w:pStyle w:val="HTML"/>
              <w:ind w:left="538" w:hangingChars="224" w:hanging="538"/>
              <w:rPr>
                <w:rFonts w:ascii="Times New Roman" w:eastAsia="標楷體" w:hAnsi="Times New Roman"/>
                <w:color w:val="000000"/>
              </w:rPr>
            </w:pPr>
            <w:r w:rsidRPr="0016039F">
              <w:rPr>
                <w:rFonts w:ascii="Times New Roman" w:eastAsia="標楷體" w:hAnsi="標楷體"/>
                <w:color w:val="000000"/>
              </w:rPr>
              <w:lastRenderedPageBreak/>
              <w:t>陸、提供市場流動契約對流動量提供者之責任義務至少應規範下列事項：</w:t>
            </w:r>
          </w:p>
          <w:p w:rsidR="001E0077" w:rsidRDefault="001E0077" w:rsidP="007A2372">
            <w:pPr>
              <w:pStyle w:val="HTML"/>
              <w:ind w:left="396" w:hangingChars="165" w:hanging="396"/>
              <w:rPr>
                <w:rFonts w:ascii="Times New Roman" w:eastAsia="標楷體" w:hAnsi="標楷體"/>
                <w:color w:val="000000"/>
              </w:rPr>
            </w:pPr>
          </w:p>
          <w:p w:rsidR="005425F0" w:rsidRDefault="005425F0" w:rsidP="007A2372">
            <w:pPr>
              <w:pStyle w:val="HTML"/>
              <w:ind w:left="396" w:hangingChars="165" w:hanging="396"/>
              <w:rPr>
                <w:rFonts w:ascii="Times New Roman" w:eastAsia="標楷體" w:hAnsi="標楷體"/>
                <w:color w:val="000000"/>
              </w:rPr>
            </w:pPr>
          </w:p>
          <w:p w:rsidR="003E0B8A" w:rsidRDefault="003E0B8A" w:rsidP="007A2372">
            <w:pPr>
              <w:pStyle w:val="HTML"/>
              <w:ind w:left="396" w:hangingChars="165" w:hanging="396"/>
              <w:rPr>
                <w:rFonts w:ascii="Times New Roman" w:eastAsia="標楷體" w:hAnsi="標楷體"/>
                <w:color w:val="000000"/>
              </w:rPr>
            </w:pPr>
          </w:p>
          <w:p w:rsidR="00F83583" w:rsidRDefault="00F83583" w:rsidP="007A2372">
            <w:pPr>
              <w:pStyle w:val="HTML"/>
              <w:ind w:left="396" w:hangingChars="165" w:hanging="396"/>
              <w:rPr>
                <w:rFonts w:ascii="Times New Roman" w:eastAsia="標楷體" w:hAnsi="標楷體"/>
                <w:color w:val="000000"/>
              </w:rPr>
            </w:pP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一、該</w:t>
            </w:r>
            <w:r w:rsidRPr="0016039F">
              <w:rPr>
                <w:rFonts w:ascii="Times New Roman" w:eastAsia="標楷體" w:hAnsi="Times New Roman"/>
                <w:color w:val="000000"/>
              </w:rPr>
              <w:t xml:space="preserve"> ETF</w:t>
            </w:r>
            <w:r w:rsidRPr="0016039F">
              <w:rPr>
                <w:rFonts w:ascii="Times New Roman" w:eastAsia="標楷體" w:hAnsi="標楷體"/>
                <w:color w:val="000000"/>
              </w:rPr>
              <w:t>於本公司有價證券集中交易市場所揭示之最佳一檔買賣價差範圍，其計算公式如下：</w:t>
            </w:r>
          </w:p>
          <w:p w:rsidR="007A2372" w:rsidRPr="0016039F" w:rsidRDefault="007A2372" w:rsidP="007A2372">
            <w:pPr>
              <w:pStyle w:val="HTML"/>
              <w:rPr>
                <w:rFonts w:ascii="Times New Roman" w:eastAsia="標楷體" w:hAnsi="Times New Roman"/>
                <w:color w:val="000000"/>
              </w:rPr>
            </w:pPr>
            <w:r w:rsidRPr="0016039F">
              <w:rPr>
                <w:rFonts w:ascii="Times New Roman" w:eastAsia="標楷體" w:hAnsi="標楷體"/>
                <w:color w:val="000000"/>
              </w:rPr>
              <w:t>（最佳一檔買賣價差）＝</w:t>
            </w:r>
            <w:r w:rsidRPr="0016039F">
              <w:rPr>
                <w:rFonts w:ascii="Times New Roman" w:eastAsia="標楷體" w:hAnsi="Times New Roman"/>
                <w:color w:val="000000"/>
              </w:rPr>
              <w:t xml:space="preserve"> [</w:t>
            </w:r>
            <w:r w:rsidRPr="0016039F">
              <w:rPr>
                <w:rFonts w:ascii="Times New Roman" w:eastAsia="標楷體" w:hAnsi="標楷體"/>
                <w:color w:val="000000"/>
              </w:rPr>
              <w:t>（未成交之最低賣出申報價格）－（未成交之最高買進申報價格）</w:t>
            </w:r>
            <w:r w:rsidRPr="0016039F">
              <w:rPr>
                <w:rFonts w:ascii="Times New Roman" w:eastAsia="標楷體" w:hAnsi="Times New Roman"/>
                <w:color w:val="000000"/>
              </w:rPr>
              <w:t xml:space="preserve"> ]</w:t>
            </w:r>
            <w:r w:rsidRPr="0016039F">
              <w:rPr>
                <w:rFonts w:ascii="Times New Roman" w:eastAsia="標楷體" w:hAnsi="標楷體"/>
                <w:color w:val="000000"/>
              </w:rPr>
              <w:t>／（未成交之最低賣出申報價格）。</w:t>
            </w: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二、流動量提供者對該</w:t>
            </w:r>
            <w:r w:rsidRPr="0016039F">
              <w:rPr>
                <w:rFonts w:ascii="Times New Roman" w:eastAsia="標楷體" w:hAnsi="Times New Roman"/>
                <w:color w:val="000000"/>
              </w:rPr>
              <w:t>ETF</w:t>
            </w:r>
            <w:r w:rsidRPr="0016039F">
              <w:rPr>
                <w:rFonts w:ascii="Times New Roman" w:eastAsia="標楷體" w:hAnsi="標楷體"/>
                <w:color w:val="000000"/>
              </w:rPr>
              <w:t>之最少參與撮合盤數，所稱參與撮合</w:t>
            </w:r>
            <w:proofErr w:type="gramStart"/>
            <w:r w:rsidRPr="0016039F">
              <w:rPr>
                <w:rFonts w:ascii="Times New Roman" w:eastAsia="標楷體" w:hAnsi="標楷體"/>
                <w:color w:val="000000"/>
              </w:rPr>
              <w:t>盤數係指</w:t>
            </w:r>
            <w:proofErr w:type="gramEnd"/>
            <w:r w:rsidRPr="0016039F">
              <w:rPr>
                <w:rFonts w:ascii="Times New Roman" w:eastAsia="標楷體" w:hAnsi="標楷體"/>
                <w:color w:val="000000"/>
              </w:rPr>
              <w:t>買進、賣出委託，其價格均介於前一次未成交之最低賣出申報價格以上特定範圍及未成交之最高買進申報價格以下特定範圍或成交價上下特定範圍內，參與本公司交易系統撮合之最少次數，針對參與上揭撮合盤數計算之買進及賣出申報應訂定最低數量標準。</w:t>
            </w:r>
          </w:p>
          <w:p w:rsidR="007A2372" w:rsidRDefault="007A2372" w:rsidP="007A2372">
            <w:pPr>
              <w:pStyle w:val="HTML"/>
              <w:ind w:left="396" w:hangingChars="165" w:hanging="396"/>
              <w:rPr>
                <w:rFonts w:ascii="Times New Roman" w:eastAsia="標楷體" w:hAnsi="標楷體"/>
                <w:color w:val="000000"/>
              </w:rPr>
            </w:pPr>
            <w:r w:rsidRPr="0016039F">
              <w:rPr>
                <w:rFonts w:ascii="Times New Roman" w:eastAsia="標楷體" w:hAnsi="標楷體"/>
                <w:color w:val="000000"/>
              </w:rPr>
              <w:t>三、流動量提供者於</w:t>
            </w:r>
            <w:r w:rsidRPr="00DD7C7D">
              <w:rPr>
                <w:rFonts w:ascii="Times New Roman" w:eastAsia="標楷體" w:hAnsi="標楷體"/>
                <w:color w:val="000000"/>
                <w:u w:val="single"/>
              </w:rPr>
              <w:t>盤中</w:t>
            </w:r>
            <w:r w:rsidRPr="0016039F">
              <w:rPr>
                <w:rFonts w:ascii="Times New Roman" w:eastAsia="標楷體" w:hAnsi="標楷體"/>
                <w:color w:val="000000"/>
              </w:rPr>
              <w:t>遇該</w:t>
            </w:r>
            <w:r w:rsidRPr="0016039F">
              <w:rPr>
                <w:rFonts w:ascii="Times New Roman" w:eastAsia="標楷體" w:hAnsi="Times New Roman"/>
                <w:color w:val="000000"/>
              </w:rPr>
              <w:t>ETF</w:t>
            </w:r>
            <w:r w:rsidRPr="0016039F">
              <w:rPr>
                <w:rFonts w:ascii="Times New Roman" w:eastAsia="標楷體" w:hAnsi="標楷體"/>
                <w:color w:val="000000"/>
              </w:rPr>
              <w:t>有本公司營業細則第</w:t>
            </w:r>
            <w:r w:rsidRPr="00F62125">
              <w:rPr>
                <w:rFonts w:ascii="Times New Roman" w:eastAsia="標楷體" w:hAnsi="Times New Roman"/>
                <w:color w:val="000000"/>
                <w:u w:val="single"/>
              </w:rPr>
              <w:t>58</w:t>
            </w:r>
            <w:r w:rsidRPr="0016039F">
              <w:rPr>
                <w:rFonts w:ascii="Times New Roman" w:eastAsia="標楷體" w:hAnsi="標楷體"/>
                <w:color w:val="000000"/>
              </w:rPr>
              <w:t>條之</w:t>
            </w:r>
            <w:r w:rsidRPr="00F62125">
              <w:rPr>
                <w:rFonts w:ascii="Times New Roman" w:eastAsia="標楷體" w:hAnsi="Times New Roman"/>
                <w:color w:val="000000"/>
                <w:u w:val="single"/>
              </w:rPr>
              <w:t>3</w:t>
            </w:r>
            <w:r w:rsidRPr="0016039F">
              <w:rPr>
                <w:rFonts w:ascii="Times New Roman" w:eastAsia="標楷體" w:hAnsi="標楷體"/>
                <w:color w:val="000000"/>
              </w:rPr>
              <w:t>第四項之情事時，必須於延緩撮合期間申報買進及賣出委託之最低數量標準。</w:t>
            </w:r>
          </w:p>
          <w:p w:rsidR="007A2372" w:rsidRPr="0016039F" w:rsidRDefault="007A2372" w:rsidP="007A2372">
            <w:pPr>
              <w:pStyle w:val="HTML"/>
              <w:ind w:left="396" w:hangingChars="165" w:hanging="396"/>
              <w:rPr>
                <w:rFonts w:ascii="Times New Roman" w:eastAsia="標楷體" w:hAnsi="Times New Roman"/>
                <w:color w:val="000000"/>
              </w:rPr>
            </w:pPr>
            <w:r w:rsidRPr="0016039F">
              <w:rPr>
                <w:rFonts w:ascii="Times New Roman" w:eastAsia="標楷體" w:hAnsi="標楷體"/>
                <w:color w:val="000000"/>
              </w:rPr>
              <w:t>四、該</w:t>
            </w:r>
            <w:r w:rsidRPr="0016039F">
              <w:rPr>
                <w:rFonts w:ascii="Times New Roman" w:eastAsia="標楷體" w:hAnsi="Times New Roman"/>
                <w:color w:val="000000"/>
              </w:rPr>
              <w:t>ETF</w:t>
            </w:r>
            <w:r w:rsidRPr="0016039F">
              <w:rPr>
                <w:rFonts w:ascii="Times New Roman" w:eastAsia="標楷體" w:hAnsi="標楷體"/>
                <w:color w:val="000000"/>
              </w:rPr>
              <w:t>價格除漲停或跌停者外，市場行情揭示僅有買進或賣出價格之持續時間限制，</w:t>
            </w:r>
            <w:proofErr w:type="gramStart"/>
            <w:r w:rsidRPr="0016039F">
              <w:rPr>
                <w:rFonts w:ascii="Times New Roman" w:eastAsia="標楷體" w:hAnsi="標楷體"/>
                <w:color w:val="000000"/>
              </w:rPr>
              <w:t>惟</w:t>
            </w:r>
            <w:r w:rsidRPr="0016039F">
              <w:rPr>
                <w:rFonts w:ascii="Times New Roman" w:eastAsia="標楷體" w:hAnsi="標楷體"/>
                <w:color w:val="000000"/>
              </w:rPr>
              <w:lastRenderedPageBreak/>
              <w:t>遇有</w:t>
            </w:r>
            <w:proofErr w:type="gramEnd"/>
            <w:r w:rsidRPr="0016039F">
              <w:rPr>
                <w:rFonts w:ascii="Times New Roman" w:eastAsia="標楷體" w:hAnsi="標楷體"/>
                <w:color w:val="000000"/>
              </w:rPr>
              <w:t>本公司營業細則第</w:t>
            </w:r>
            <w:r w:rsidRPr="00FA023F">
              <w:rPr>
                <w:rFonts w:ascii="Times New Roman" w:eastAsia="標楷體" w:hAnsi="Times New Roman"/>
                <w:color w:val="000000"/>
              </w:rPr>
              <w:t>58</w:t>
            </w:r>
            <w:r w:rsidRPr="0016039F">
              <w:rPr>
                <w:rFonts w:ascii="Times New Roman" w:eastAsia="標楷體" w:hAnsi="標楷體"/>
                <w:color w:val="000000"/>
              </w:rPr>
              <w:t>條之</w:t>
            </w:r>
            <w:r w:rsidRPr="00FA023F">
              <w:rPr>
                <w:rFonts w:ascii="Times New Roman" w:eastAsia="標楷體" w:hAnsi="Times New Roman"/>
                <w:color w:val="000000"/>
              </w:rPr>
              <w:t>3</w:t>
            </w:r>
            <w:r w:rsidRPr="0016039F">
              <w:rPr>
                <w:rFonts w:ascii="Times New Roman" w:eastAsia="標楷體" w:hAnsi="標楷體"/>
                <w:color w:val="000000"/>
              </w:rPr>
              <w:t>第四項之情事，須延緩撮合時間時，得排除前項時間計算。</w:t>
            </w:r>
          </w:p>
          <w:p w:rsidR="00067CA5" w:rsidRDefault="00067CA5" w:rsidP="007A2372">
            <w:pPr>
              <w:pStyle w:val="HTML"/>
              <w:ind w:left="396" w:hangingChars="165" w:hanging="396"/>
              <w:rPr>
                <w:rFonts w:eastAsia="標楷體" w:hAnsi="標楷體" w:hint="eastAsia"/>
                <w:color w:val="000000"/>
              </w:rPr>
            </w:pPr>
          </w:p>
          <w:p w:rsidR="007A2372" w:rsidRPr="000656DC" w:rsidRDefault="007A2372" w:rsidP="007A2372">
            <w:pPr>
              <w:pStyle w:val="HTML"/>
              <w:ind w:left="396" w:hangingChars="165" w:hanging="396"/>
            </w:pPr>
            <w:r w:rsidRPr="0016039F">
              <w:rPr>
                <w:rFonts w:eastAsia="標楷體" w:hAnsi="標楷體"/>
                <w:color w:val="000000"/>
              </w:rPr>
              <w:t>五、同意本公司將流動量提供者</w:t>
            </w:r>
            <w:r w:rsidRPr="0016039F">
              <w:rPr>
                <w:rFonts w:eastAsia="標楷體"/>
                <w:color w:val="000000"/>
              </w:rPr>
              <w:t>ETF</w:t>
            </w:r>
            <w:r w:rsidRPr="0016039F">
              <w:rPr>
                <w:rFonts w:eastAsia="標楷體" w:hAnsi="標楷體"/>
                <w:color w:val="000000"/>
              </w:rPr>
              <w:t>專戶中就該</w:t>
            </w:r>
            <w:r w:rsidRPr="0016039F">
              <w:rPr>
                <w:rFonts w:eastAsia="標楷體"/>
                <w:color w:val="000000"/>
              </w:rPr>
              <w:t>ETF</w:t>
            </w:r>
            <w:r w:rsidRPr="0016039F">
              <w:rPr>
                <w:rFonts w:eastAsia="標楷體" w:hAnsi="標楷體"/>
                <w:color w:val="000000"/>
              </w:rPr>
              <w:t>所有買賣申報及成交明細提供予投信事業</w:t>
            </w:r>
            <w:r w:rsidRPr="0066237B">
              <w:rPr>
                <w:rFonts w:eastAsia="標楷體" w:hAnsi="標楷體" w:hint="eastAsia"/>
                <w:color w:val="000000"/>
              </w:rPr>
              <w:t>、</w:t>
            </w:r>
            <w:proofErr w:type="gramStart"/>
            <w:r w:rsidRPr="0066237B">
              <w:rPr>
                <w:rFonts w:eastAsia="標楷體" w:hAnsi="標楷體" w:hint="eastAsia"/>
                <w:color w:val="000000"/>
              </w:rPr>
              <w:t>期信事業</w:t>
            </w:r>
            <w:proofErr w:type="gramEnd"/>
            <w:r w:rsidRPr="0016039F">
              <w:rPr>
                <w:rFonts w:eastAsia="標楷體" w:hAnsi="標楷體"/>
                <w:color w:val="000000"/>
              </w:rPr>
              <w:t>或境外基金總代理人。</w:t>
            </w:r>
          </w:p>
        </w:tc>
        <w:tc>
          <w:tcPr>
            <w:tcW w:w="1843" w:type="dxa"/>
            <w:tcBorders>
              <w:top w:val="single" w:sz="4" w:space="0" w:color="auto"/>
              <w:left w:val="single" w:sz="4" w:space="0" w:color="auto"/>
              <w:bottom w:val="single" w:sz="4" w:space="0" w:color="auto"/>
              <w:right w:val="single" w:sz="4" w:space="0" w:color="auto"/>
            </w:tcBorders>
          </w:tcPr>
          <w:p w:rsidR="00DD7C7D" w:rsidRPr="00AF7129" w:rsidRDefault="002D0A25" w:rsidP="00DD7C7D">
            <w:pPr>
              <w:spacing w:line="400" w:lineRule="exact"/>
              <w:jc w:val="both"/>
              <w:rPr>
                <w:rFonts w:eastAsia="標楷體"/>
                <w:color w:val="000000"/>
              </w:rPr>
            </w:pPr>
            <w:r>
              <w:rPr>
                <w:rFonts w:eastAsia="標楷體" w:hint="eastAsia"/>
                <w:color w:val="000000"/>
              </w:rPr>
              <w:lastRenderedPageBreak/>
              <w:t>配合</w:t>
            </w:r>
            <w:r>
              <w:rPr>
                <w:rFonts w:eastAsia="標楷體" w:hint="eastAsia"/>
                <w:color w:val="000000"/>
              </w:rPr>
              <w:t>104</w:t>
            </w:r>
            <w:r>
              <w:rPr>
                <w:rFonts w:eastAsia="標楷體" w:hint="eastAsia"/>
                <w:color w:val="000000"/>
              </w:rPr>
              <w:t>年</w:t>
            </w:r>
            <w:r>
              <w:rPr>
                <w:rFonts w:eastAsia="標楷體" w:hint="eastAsia"/>
                <w:color w:val="000000"/>
              </w:rPr>
              <w:t>6</w:t>
            </w:r>
            <w:r>
              <w:rPr>
                <w:rFonts w:eastAsia="標楷體" w:hint="eastAsia"/>
                <w:color w:val="000000"/>
              </w:rPr>
              <w:t>月</w:t>
            </w:r>
            <w:r>
              <w:rPr>
                <w:rFonts w:eastAsia="標楷體" w:hint="eastAsia"/>
                <w:color w:val="000000"/>
              </w:rPr>
              <w:t>29</w:t>
            </w:r>
            <w:r>
              <w:rPr>
                <w:rFonts w:eastAsia="標楷體" w:hint="eastAsia"/>
                <w:color w:val="000000"/>
              </w:rPr>
              <w:t>日</w:t>
            </w:r>
            <w:r w:rsidR="00473C67">
              <w:rPr>
                <w:rFonts w:eastAsia="標楷體" w:hint="eastAsia"/>
                <w:color w:val="000000"/>
              </w:rPr>
              <w:t>開</w:t>
            </w:r>
            <w:r w:rsidR="000475D9">
              <w:rPr>
                <w:rFonts w:eastAsia="標楷體" w:hint="eastAsia"/>
                <w:color w:val="000000"/>
              </w:rPr>
              <w:t>、收</w:t>
            </w:r>
            <w:r w:rsidR="00473C67">
              <w:rPr>
                <w:rFonts w:eastAsia="標楷體" w:hint="eastAsia"/>
                <w:color w:val="000000"/>
              </w:rPr>
              <w:t>盤前資訊揭露，修</w:t>
            </w:r>
            <w:r w:rsidR="00DD7C7D">
              <w:rPr>
                <w:rFonts w:eastAsia="標楷體" w:hint="eastAsia"/>
                <w:color w:val="000000"/>
              </w:rPr>
              <w:t>正</w:t>
            </w:r>
            <w:r w:rsidR="00473C67">
              <w:rPr>
                <w:rFonts w:eastAsia="標楷體" w:hint="eastAsia"/>
                <w:color w:val="000000"/>
              </w:rPr>
              <w:t>流動量提供者相關報價契約規範</w:t>
            </w:r>
            <w:r w:rsidR="00F62125">
              <w:rPr>
                <w:rFonts w:eastAsia="標楷體" w:hint="eastAsia"/>
                <w:color w:val="000000"/>
              </w:rPr>
              <w:t>，使範圍涵蓋開市前三十分鐘</w:t>
            </w:r>
            <w:r w:rsidR="00F62125">
              <w:rPr>
                <w:rFonts w:eastAsia="標楷體" w:hint="eastAsia"/>
                <w:color w:val="000000"/>
              </w:rPr>
              <w:t>(</w:t>
            </w:r>
            <w:r w:rsidR="00F62125">
              <w:rPr>
                <w:rFonts w:eastAsia="標楷體" w:hint="eastAsia"/>
                <w:color w:val="000000"/>
              </w:rPr>
              <w:t>上午</w:t>
            </w:r>
            <w:r w:rsidR="00F62125">
              <w:rPr>
                <w:rFonts w:eastAsia="標楷體" w:hint="eastAsia"/>
                <w:color w:val="000000"/>
              </w:rPr>
              <w:t>8</w:t>
            </w:r>
            <w:r w:rsidR="00F62125">
              <w:rPr>
                <w:rFonts w:eastAsia="標楷體" w:hint="eastAsia"/>
                <w:color w:val="000000"/>
              </w:rPr>
              <w:t>時</w:t>
            </w:r>
            <w:r w:rsidR="00F62125">
              <w:rPr>
                <w:rFonts w:eastAsia="標楷體" w:hint="eastAsia"/>
                <w:color w:val="000000"/>
              </w:rPr>
              <w:t>30</w:t>
            </w:r>
            <w:r w:rsidR="00F62125">
              <w:rPr>
                <w:rFonts w:eastAsia="標楷體" w:hint="eastAsia"/>
                <w:color w:val="000000"/>
              </w:rPr>
              <w:t>分至</w:t>
            </w:r>
            <w:r w:rsidR="00F62125">
              <w:rPr>
                <w:rFonts w:eastAsia="標楷體" w:hint="eastAsia"/>
                <w:color w:val="000000"/>
              </w:rPr>
              <w:t>9</w:t>
            </w:r>
            <w:r w:rsidR="00F62125">
              <w:rPr>
                <w:rFonts w:eastAsia="標楷體" w:hint="eastAsia"/>
                <w:color w:val="000000"/>
              </w:rPr>
              <w:t>時</w:t>
            </w:r>
            <w:r w:rsidR="00F62125">
              <w:rPr>
                <w:rFonts w:eastAsia="標楷體" w:hint="eastAsia"/>
                <w:color w:val="000000"/>
              </w:rPr>
              <w:t>)</w:t>
            </w:r>
            <w:r w:rsidR="00F62125">
              <w:rPr>
                <w:rFonts w:eastAsia="標楷體" w:hint="eastAsia"/>
                <w:color w:val="000000"/>
              </w:rPr>
              <w:t>及收市前一段時間</w:t>
            </w:r>
            <w:r w:rsidR="00F62125">
              <w:rPr>
                <w:rFonts w:eastAsia="標楷體" w:hint="eastAsia"/>
                <w:color w:val="000000"/>
              </w:rPr>
              <w:t>(</w:t>
            </w:r>
            <w:r w:rsidR="00F62125">
              <w:rPr>
                <w:rFonts w:eastAsia="標楷體" w:hint="eastAsia"/>
                <w:color w:val="000000"/>
              </w:rPr>
              <w:t>下午</w:t>
            </w:r>
            <w:r w:rsidR="00F62125">
              <w:rPr>
                <w:rFonts w:eastAsia="標楷體" w:hint="eastAsia"/>
                <w:color w:val="000000"/>
              </w:rPr>
              <w:t>1</w:t>
            </w:r>
            <w:r w:rsidR="00F62125">
              <w:rPr>
                <w:rFonts w:eastAsia="標楷體" w:hint="eastAsia"/>
                <w:color w:val="000000"/>
              </w:rPr>
              <w:t>時</w:t>
            </w:r>
            <w:r w:rsidR="00F62125">
              <w:rPr>
                <w:rFonts w:eastAsia="標楷體" w:hint="eastAsia"/>
                <w:color w:val="000000"/>
              </w:rPr>
              <w:t>25</w:t>
            </w:r>
            <w:r w:rsidR="00F62125">
              <w:rPr>
                <w:rFonts w:eastAsia="標楷體" w:hint="eastAsia"/>
                <w:color w:val="000000"/>
              </w:rPr>
              <w:t>分至</w:t>
            </w:r>
            <w:r w:rsidR="00F62125">
              <w:rPr>
                <w:rFonts w:eastAsia="標楷體" w:hint="eastAsia"/>
                <w:color w:val="000000"/>
              </w:rPr>
              <w:t>1</w:t>
            </w:r>
            <w:r w:rsidR="00F62125">
              <w:rPr>
                <w:rFonts w:eastAsia="標楷體" w:hint="eastAsia"/>
                <w:color w:val="000000"/>
              </w:rPr>
              <w:t>時</w:t>
            </w:r>
            <w:r w:rsidR="00F62125">
              <w:rPr>
                <w:rFonts w:eastAsia="標楷體" w:hint="eastAsia"/>
                <w:color w:val="000000"/>
              </w:rPr>
              <w:t>30</w:t>
            </w:r>
            <w:r w:rsidR="00F62125">
              <w:rPr>
                <w:rFonts w:eastAsia="標楷體" w:hint="eastAsia"/>
                <w:color w:val="000000"/>
              </w:rPr>
              <w:t>分</w:t>
            </w:r>
            <w:r w:rsidR="00F62125">
              <w:rPr>
                <w:rFonts w:eastAsia="標楷體" w:hint="eastAsia"/>
                <w:color w:val="000000"/>
              </w:rPr>
              <w:t>)</w:t>
            </w:r>
            <w:r w:rsidR="00DD7C7D">
              <w:rPr>
                <w:rFonts w:eastAsia="標楷體" w:hint="eastAsia"/>
                <w:color w:val="000000"/>
              </w:rPr>
              <w:t>，以及遇暫緩第一次撮合或收盤撮合期間之規定，</w:t>
            </w:r>
            <w:proofErr w:type="gramStart"/>
            <w:r w:rsidR="00DD7C7D">
              <w:rPr>
                <w:rFonts w:eastAsia="標楷體" w:hint="eastAsia"/>
                <w:color w:val="000000"/>
              </w:rPr>
              <w:t>另酌修</w:t>
            </w:r>
            <w:proofErr w:type="gramEnd"/>
            <w:r w:rsidR="00DD7C7D">
              <w:rPr>
                <w:rFonts w:eastAsia="標楷體" w:hint="eastAsia"/>
                <w:color w:val="000000"/>
              </w:rPr>
              <w:t>文字。</w:t>
            </w:r>
          </w:p>
        </w:tc>
      </w:tr>
      <w:tr w:rsidR="003E7706" w:rsidRPr="00AF7129" w:rsidTr="00C120BB">
        <w:trPr>
          <w:trHeight w:val="2041"/>
        </w:trPr>
        <w:tc>
          <w:tcPr>
            <w:tcW w:w="3686" w:type="dxa"/>
            <w:tcBorders>
              <w:top w:val="single" w:sz="4" w:space="0" w:color="auto"/>
              <w:left w:val="single" w:sz="4" w:space="0" w:color="auto"/>
              <w:bottom w:val="single" w:sz="4" w:space="0" w:color="auto"/>
              <w:right w:val="single" w:sz="4" w:space="0" w:color="auto"/>
            </w:tcBorders>
          </w:tcPr>
          <w:p w:rsidR="003E7706" w:rsidRPr="003E7706" w:rsidRDefault="003E7706" w:rsidP="00C12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hangingChars="402" w:hanging="965"/>
              <w:rPr>
                <w:rFonts w:eastAsia="標楷體" w:hAnsi="標楷體"/>
                <w:color w:val="000000"/>
                <w:kern w:val="0"/>
              </w:rPr>
            </w:pPr>
            <w:r w:rsidRPr="003E7706">
              <w:rPr>
                <w:rFonts w:eastAsia="標楷體" w:hAnsi="標楷體" w:hint="eastAsia"/>
                <w:color w:val="000000"/>
                <w:kern w:val="0"/>
              </w:rPr>
              <w:lastRenderedPageBreak/>
              <w:t>陸之一、</w:t>
            </w:r>
            <w:r w:rsidRPr="003E7706">
              <w:rPr>
                <w:rFonts w:eastAsia="標楷體" w:hAnsi="標楷體" w:hint="eastAsia"/>
                <w:color w:val="000000"/>
                <w:kern w:val="0"/>
              </w:rPr>
              <w:t>ETF</w:t>
            </w:r>
            <w:r w:rsidRPr="003E7706">
              <w:rPr>
                <w:rFonts w:eastAsia="標楷體" w:hAnsi="標楷體" w:hint="eastAsia"/>
                <w:kern w:val="0"/>
              </w:rPr>
              <w:t>如連續三個月有以下市場行情揭示情事，本公司將通知發行</w:t>
            </w:r>
            <w:r w:rsidRPr="003E7706">
              <w:rPr>
                <w:rFonts w:eastAsia="標楷體" w:hAnsi="標楷體" w:hint="eastAsia"/>
                <w:kern w:val="0"/>
              </w:rPr>
              <w:t>ETF</w:t>
            </w:r>
            <w:r w:rsidRPr="003E7706">
              <w:rPr>
                <w:rFonts w:eastAsia="標楷體" w:hAnsi="標楷體" w:hint="eastAsia"/>
                <w:kern w:val="0"/>
              </w:rPr>
              <w:t>之投信事業</w:t>
            </w:r>
            <w:proofErr w:type="gramStart"/>
            <w:r w:rsidRPr="003E7706">
              <w:rPr>
                <w:rFonts w:eastAsia="標楷體" w:hAnsi="標楷體" w:hint="eastAsia"/>
                <w:kern w:val="0"/>
              </w:rPr>
              <w:t>或期信事業</w:t>
            </w:r>
            <w:proofErr w:type="gramEnd"/>
            <w:r w:rsidRPr="003E7706">
              <w:rPr>
                <w:rFonts w:eastAsia="標楷體" w:hAnsi="標楷體" w:hint="eastAsia"/>
                <w:kern w:val="0"/>
              </w:rPr>
              <w:t>於通知後次月起二個月內改善；未於期限內改善者，本公司將發函警告，自次月起二個月內仍未改善，視為違反上市契約，本公司對該投信事業</w:t>
            </w:r>
            <w:proofErr w:type="gramStart"/>
            <w:r w:rsidRPr="003E7706">
              <w:rPr>
                <w:rFonts w:eastAsia="標楷體" w:hAnsi="標楷體" w:hint="eastAsia"/>
                <w:kern w:val="0"/>
              </w:rPr>
              <w:t>或期信事業</w:t>
            </w:r>
            <w:proofErr w:type="gramEnd"/>
            <w:r w:rsidRPr="003E7706">
              <w:rPr>
                <w:rFonts w:eastAsia="標楷體" w:hAnsi="標楷體" w:hint="eastAsia"/>
                <w:kern w:val="0"/>
              </w:rPr>
              <w:t>課以新臺幣</w:t>
            </w:r>
            <w:proofErr w:type="gramStart"/>
            <w:r w:rsidRPr="003E7706">
              <w:rPr>
                <w:rFonts w:eastAsia="標楷體" w:hAnsi="標楷體" w:hint="eastAsia"/>
                <w:kern w:val="0"/>
              </w:rPr>
              <w:t>三</w:t>
            </w:r>
            <w:proofErr w:type="gramEnd"/>
            <w:r w:rsidRPr="003E7706">
              <w:rPr>
                <w:rFonts w:eastAsia="標楷體" w:hAnsi="標楷體" w:hint="eastAsia"/>
                <w:kern w:val="0"/>
              </w:rPr>
              <w:t>萬元之違約金，且每三</w:t>
            </w:r>
            <w:proofErr w:type="gramStart"/>
            <w:r w:rsidRPr="003E7706">
              <w:rPr>
                <w:rFonts w:eastAsia="標楷體" w:hAnsi="標楷體" w:hint="eastAsia"/>
                <w:kern w:val="0"/>
              </w:rPr>
              <w:t>個</w:t>
            </w:r>
            <w:proofErr w:type="gramEnd"/>
            <w:r w:rsidRPr="003E7706">
              <w:rPr>
                <w:rFonts w:eastAsia="標楷體" w:hAnsi="標楷體" w:hint="eastAsia"/>
                <w:kern w:val="0"/>
              </w:rPr>
              <w:t>月查處一次並得連續處分至改善為止。</w:t>
            </w:r>
          </w:p>
          <w:p w:rsidR="003E7706" w:rsidRPr="003E7706" w:rsidRDefault="003E7706" w:rsidP="00C12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5"/>
              <w:rPr>
                <w:rFonts w:eastAsia="標楷體" w:hAnsi="標楷體"/>
                <w:color w:val="000000"/>
                <w:kern w:val="0"/>
              </w:rPr>
            </w:pPr>
            <w:r w:rsidRPr="003E7706">
              <w:rPr>
                <w:rFonts w:eastAsia="標楷體" w:hAnsi="標楷體" w:hint="eastAsia"/>
                <w:color w:val="000000"/>
                <w:kern w:val="0"/>
              </w:rPr>
              <w:t>依受益憑證買賣辦法第二條所稱之國內成分證券</w:t>
            </w:r>
            <w:r w:rsidRPr="003E7706">
              <w:rPr>
                <w:rFonts w:eastAsia="標楷體" w:hAnsi="標楷體"/>
                <w:color w:val="000000"/>
                <w:kern w:val="0"/>
              </w:rPr>
              <w:t>指數股票型基金</w:t>
            </w:r>
            <w:r w:rsidRPr="003E7706">
              <w:rPr>
                <w:rFonts w:eastAsia="標楷體" w:hAnsi="標楷體" w:hint="eastAsia"/>
                <w:color w:val="000000"/>
                <w:kern w:val="0"/>
              </w:rPr>
              <w:t>，其於</w:t>
            </w:r>
            <w:r w:rsidR="00F70860" w:rsidRPr="00F70860">
              <w:rPr>
                <w:rFonts w:eastAsia="標楷體" w:hAnsi="標楷體" w:hint="eastAsia"/>
                <w:color w:val="000000"/>
                <w:kern w:val="0"/>
                <w:u w:val="single"/>
              </w:rPr>
              <w:t>開</w:t>
            </w:r>
            <w:r w:rsidR="00F70860">
              <w:rPr>
                <w:rFonts w:eastAsia="標楷體" w:hAnsi="標楷體" w:hint="eastAsia"/>
                <w:color w:val="000000"/>
                <w:kern w:val="0"/>
                <w:u w:val="single"/>
              </w:rPr>
              <w:t>市前三十分鐘至收市</w:t>
            </w:r>
            <w:r w:rsidRPr="003E7706">
              <w:rPr>
                <w:rFonts w:eastAsia="標楷體" w:hAnsi="標楷體" w:hint="eastAsia"/>
                <w:color w:val="000000"/>
                <w:kern w:val="0"/>
              </w:rPr>
              <w:t>之市場行情揭示</w:t>
            </w:r>
            <w:r w:rsidR="007C1D64" w:rsidRPr="007C1D64">
              <w:rPr>
                <w:rFonts w:eastAsia="標楷體" w:hAnsi="標楷體" w:hint="eastAsia"/>
                <w:color w:val="000000"/>
                <w:kern w:val="0"/>
                <w:u w:val="single"/>
              </w:rPr>
              <w:t>（含開市前</w:t>
            </w:r>
            <w:r w:rsidR="00F62125">
              <w:rPr>
                <w:rFonts w:eastAsia="標楷體" w:hAnsi="標楷體" w:hint="eastAsia"/>
                <w:color w:val="000000"/>
                <w:kern w:val="0"/>
                <w:u w:val="single"/>
              </w:rPr>
              <w:t>及收市前一段時間</w:t>
            </w:r>
            <w:r w:rsidR="007C1D64">
              <w:rPr>
                <w:rFonts w:eastAsia="標楷體" w:hAnsi="標楷體" w:hint="eastAsia"/>
                <w:color w:val="000000"/>
                <w:kern w:val="0"/>
                <w:u w:val="single"/>
              </w:rPr>
              <w:t>試算</w:t>
            </w:r>
            <w:r w:rsidR="007F2308">
              <w:rPr>
                <w:rFonts w:eastAsia="標楷體" w:hAnsi="標楷體" w:hint="eastAsia"/>
                <w:color w:val="000000"/>
                <w:kern w:val="0"/>
                <w:u w:val="single"/>
              </w:rPr>
              <w:t>買賣</w:t>
            </w:r>
            <w:r w:rsidR="004D792E">
              <w:rPr>
                <w:rFonts w:eastAsia="標楷體" w:hAnsi="標楷體" w:hint="eastAsia"/>
                <w:color w:val="000000"/>
                <w:kern w:val="0"/>
                <w:u w:val="single"/>
              </w:rPr>
              <w:t>揭示</w:t>
            </w:r>
            <w:r w:rsidR="007C1D64">
              <w:rPr>
                <w:rFonts w:eastAsia="標楷體" w:hAnsi="標楷體" w:hint="eastAsia"/>
                <w:color w:val="000000"/>
                <w:kern w:val="0"/>
                <w:u w:val="single"/>
              </w:rPr>
              <w:t>價格</w:t>
            </w:r>
            <w:r w:rsidR="007C1D64" w:rsidRPr="007C1D64">
              <w:rPr>
                <w:rFonts w:eastAsia="標楷體" w:hAnsi="標楷體" w:hint="eastAsia"/>
                <w:color w:val="000000"/>
                <w:kern w:val="0"/>
                <w:u w:val="single"/>
              </w:rPr>
              <w:t>）</w:t>
            </w:r>
            <w:r w:rsidRPr="003E7706">
              <w:rPr>
                <w:rFonts w:eastAsia="標楷體" w:hAnsi="標楷體" w:hint="eastAsia"/>
                <w:color w:val="000000"/>
                <w:kern w:val="0"/>
              </w:rPr>
              <w:t>，每月分別不得有下列情事超過二次：</w:t>
            </w:r>
            <w:r w:rsidRPr="003E7706">
              <w:rPr>
                <w:rFonts w:eastAsia="標楷體" w:hAnsi="標楷體" w:hint="eastAsia"/>
                <w:color w:val="000000"/>
                <w:kern w:val="0"/>
              </w:rPr>
              <w:t xml:space="preserve"> </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一、揭示價格除漲停買進或跌停賣出者外，市場行情揭示僅有買進或賣出揭示價格且持續逾三分鐘。</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二、最佳一檔買賣價差大於百分之一且持續逾</w:t>
            </w:r>
            <w:r w:rsidRPr="003E7706">
              <w:rPr>
                <w:rFonts w:eastAsia="標楷體" w:hAnsi="標楷體" w:hint="eastAsia"/>
                <w:color w:val="000000"/>
                <w:kern w:val="0"/>
              </w:rPr>
              <w:lastRenderedPageBreak/>
              <w:t>十分鐘。</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1390" w:hangingChars="177" w:hanging="425"/>
              <w:rPr>
                <w:rFonts w:eastAsia="標楷體" w:hAnsi="標楷體"/>
                <w:color w:val="000000"/>
                <w:kern w:val="0"/>
              </w:rPr>
            </w:pPr>
            <w:r w:rsidRPr="003E7706">
              <w:rPr>
                <w:rFonts w:eastAsia="標楷體" w:hAnsi="標楷體" w:hint="eastAsia"/>
                <w:color w:val="000000"/>
                <w:kern w:val="0"/>
              </w:rPr>
              <w:t>三、遇有本公司營業細則第五十八條之三</w:t>
            </w:r>
            <w:r w:rsidRPr="0066237B">
              <w:rPr>
                <w:rFonts w:eastAsia="標楷體" w:hAnsi="標楷體" w:hint="eastAsia"/>
                <w:color w:val="000000"/>
                <w:kern w:val="0"/>
                <w:u w:val="single"/>
              </w:rPr>
              <w:t>第</w:t>
            </w:r>
            <w:r w:rsidR="0066237B" w:rsidRPr="0066237B">
              <w:rPr>
                <w:rFonts w:eastAsia="標楷體" w:hAnsi="標楷體" w:hint="eastAsia"/>
                <w:color w:val="000000"/>
                <w:kern w:val="0"/>
                <w:u w:val="single"/>
              </w:rPr>
              <w:t>四項</w:t>
            </w:r>
            <w:r w:rsidR="0066237B" w:rsidRPr="00246BB0">
              <w:rPr>
                <w:rFonts w:eastAsia="標楷體" w:hAnsi="標楷體" w:hint="eastAsia"/>
                <w:color w:val="000000"/>
                <w:u w:val="single"/>
              </w:rPr>
              <w:t>及第五項</w:t>
            </w:r>
            <w:r w:rsidRPr="003E7706">
              <w:rPr>
                <w:rFonts w:eastAsia="標楷體" w:hAnsi="標楷體" w:hint="eastAsia"/>
                <w:color w:val="000000"/>
                <w:kern w:val="0"/>
              </w:rPr>
              <w:t>情事，須延緩撮合時間時，得排除前述時間之計算。</w:t>
            </w:r>
          </w:p>
          <w:p w:rsidR="003E7706" w:rsidRPr="003E7706" w:rsidRDefault="003E7706" w:rsidP="00C12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9" w:left="958" w:firstLineChars="2" w:firstLine="5"/>
              <w:rPr>
                <w:rFonts w:eastAsia="標楷體" w:hAnsi="標楷體"/>
                <w:color w:val="000000"/>
                <w:kern w:val="0"/>
              </w:rPr>
            </w:pPr>
            <w:r w:rsidRPr="003E7706">
              <w:rPr>
                <w:rFonts w:eastAsia="標楷體" w:hAnsi="標楷體" w:hint="eastAsia"/>
                <w:color w:val="000000"/>
                <w:kern w:val="0"/>
              </w:rPr>
              <w:t>依受益憑證買賣辦法第二條所稱之國外成分證券</w:t>
            </w:r>
            <w:r w:rsidRPr="003E7706">
              <w:rPr>
                <w:rFonts w:eastAsia="標楷體" w:hAnsi="標楷體"/>
                <w:color w:val="000000"/>
                <w:kern w:val="0"/>
              </w:rPr>
              <w:t>指數股票型基金</w:t>
            </w:r>
            <w:r w:rsidRPr="003E7706">
              <w:rPr>
                <w:rFonts w:eastAsia="標楷體" w:hAnsi="標楷體" w:hint="eastAsia"/>
                <w:color w:val="000000"/>
                <w:kern w:val="0"/>
              </w:rPr>
              <w:t>及</w:t>
            </w:r>
            <w:r w:rsidRPr="003E7706">
              <w:rPr>
                <w:rFonts w:ascii="標楷體" w:eastAsia="標楷體" w:hAnsi="標楷體" w:cs="細明體" w:hint="eastAsia"/>
                <w:color w:val="000000"/>
                <w:kern w:val="0"/>
              </w:rPr>
              <w:t>指數股票型期貨信託基金</w:t>
            </w:r>
            <w:r w:rsidRPr="003E7706">
              <w:rPr>
                <w:rFonts w:eastAsia="標楷體" w:hAnsi="標楷體" w:hint="eastAsia"/>
                <w:color w:val="000000"/>
                <w:kern w:val="0"/>
              </w:rPr>
              <w:t>，其於</w:t>
            </w:r>
            <w:r w:rsidR="00F70860" w:rsidRPr="00F70860">
              <w:rPr>
                <w:rFonts w:eastAsia="標楷體" w:hAnsi="標楷體" w:hint="eastAsia"/>
                <w:color w:val="000000"/>
                <w:kern w:val="0"/>
                <w:u w:val="single"/>
              </w:rPr>
              <w:t>開</w:t>
            </w:r>
            <w:r w:rsidR="00F70860">
              <w:rPr>
                <w:rFonts w:eastAsia="標楷體" w:hAnsi="標楷體" w:hint="eastAsia"/>
                <w:color w:val="000000"/>
                <w:kern w:val="0"/>
                <w:u w:val="single"/>
              </w:rPr>
              <w:t>市前三十分鐘至收市</w:t>
            </w:r>
            <w:r w:rsidRPr="003E7706">
              <w:rPr>
                <w:rFonts w:eastAsia="標楷體" w:hAnsi="標楷體" w:hint="eastAsia"/>
                <w:color w:val="000000"/>
                <w:kern w:val="0"/>
              </w:rPr>
              <w:t>之市場行情揭示</w:t>
            </w:r>
            <w:r w:rsidR="007C1D64" w:rsidRPr="007C1D64">
              <w:rPr>
                <w:rFonts w:eastAsia="標楷體" w:hAnsi="標楷體" w:hint="eastAsia"/>
                <w:color w:val="000000"/>
                <w:kern w:val="0"/>
                <w:u w:val="single"/>
              </w:rPr>
              <w:t>（含開市前</w:t>
            </w:r>
            <w:r w:rsidR="00F62125">
              <w:rPr>
                <w:rFonts w:eastAsia="標楷體" w:hAnsi="標楷體" w:hint="eastAsia"/>
                <w:color w:val="000000"/>
                <w:kern w:val="0"/>
                <w:u w:val="single"/>
              </w:rPr>
              <w:t>及收市前一段時間</w:t>
            </w:r>
            <w:r w:rsidR="007C1D64">
              <w:rPr>
                <w:rFonts w:eastAsia="標楷體" w:hAnsi="標楷體" w:hint="eastAsia"/>
                <w:color w:val="000000"/>
                <w:kern w:val="0"/>
                <w:u w:val="single"/>
              </w:rPr>
              <w:t>試算</w:t>
            </w:r>
            <w:r w:rsidR="007F2308">
              <w:rPr>
                <w:rFonts w:eastAsia="標楷體" w:hAnsi="標楷體" w:hint="eastAsia"/>
                <w:color w:val="000000"/>
                <w:kern w:val="0"/>
                <w:u w:val="single"/>
              </w:rPr>
              <w:t>買賣</w:t>
            </w:r>
            <w:r w:rsidR="00AF087E">
              <w:rPr>
                <w:rFonts w:eastAsia="標楷體" w:hAnsi="標楷體" w:hint="eastAsia"/>
                <w:color w:val="000000"/>
                <w:kern w:val="0"/>
                <w:u w:val="single"/>
              </w:rPr>
              <w:t>揭示</w:t>
            </w:r>
            <w:r w:rsidR="007C1D64">
              <w:rPr>
                <w:rFonts w:eastAsia="標楷體" w:hAnsi="標楷體" w:hint="eastAsia"/>
                <w:color w:val="000000"/>
                <w:kern w:val="0"/>
                <w:u w:val="single"/>
              </w:rPr>
              <w:t>價格</w:t>
            </w:r>
            <w:r w:rsidR="007C1D64" w:rsidRPr="007C1D64">
              <w:rPr>
                <w:rFonts w:eastAsia="標楷體" w:hAnsi="標楷體" w:hint="eastAsia"/>
                <w:color w:val="000000"/>
                <w:kern w:val="0"/>
                <w:u w:val="single"/>
              </w:rPr>
              <w:t>）</w:t>
            </w:r>
            <w:r w:rsidRPr="003E7706">
              <w:rPr>
                <w:rFonts w:eastAsia="標楷體" w:hAnsi="標楷體" w:hint="eastAsia"/>
                <w:color w:val="000000"/>
                <w:kern w:val="0"/>
              </w:rPr>
              <w:t>每月合計不得有下列情事超過六次：</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一、揭示價格除漲停買進或跌停賣出者外，市場行情揭示僅有買進或賣出揭示價格且持續逾十分鐘。</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二、最佳一檔買賣價差大於百分之三且持續逾十分鐘。</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三、遇有本公司營業細則第五十八條之三</w:t>
            </w:r>
            <w:r w:rsidRPr="0066237B">
              <w:rPr>
                <w:rFonts w:eastAsia="標楷體" w:hAnsi="標楷體" w:hint="eastAsia"/>
                <w:color w:val="000000"/>
                <w:kern w:val="0"/>
                <w:u w:val="single"/>
              </w:rPr>
              <w:t>第四項</w:t>
            </w:r>
            <w:r w:rsidR="0066237B" w:rsidRPr="0066237B">
              <w:rPr>
                <w:rFonts w:eastAsia="標楷體" w:hAnsi="標楷體" w:hint="eastAsia"/>
                <w:color w:val="000000"/>
                <w:kern w:val="0"/>
                <w:u w:val="single"/>
              </w:rPr>
              <w:t>及第五項</w:t>
            </w:r>
            <w:r w:rsidRPr="003E7706">
              <w:rPr>
                <w:rFonts w:eastAsia="標楷體" w:hAnsi="標楷體" w:hint="eastAsia"/>
                <w:color w:val="000000"/>
                <w:kern w:val="0"/>
              </w:rPr>
              <w:t>情事，須延緩撮合時間，得排除前述次數之計算。</w:t>
            </w:r>
          </w:p>
          <w:p w:rsidR="003E7706" w:rsidRPr="003E7706"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四、國外成分證券</w:t>
            </w:r>
            <w:r w:rsidRPr="003E7706">
              <w:rPr>
                <w:rFonts w:eastAsia="標楷體" w:hAnsi="標楷體"/>
                <w:color w:val="000000"/>
                <w:kern w:val="0"/>
              </w:rPr>
              <w:t>指數股票型基金</w:t>
            </w:r>
            <w:r w:rsidRPr="003E7706">
              <w:rPr>
                <w:rFonts w:eastAsia="標楷體" w:hAnsi="標楷體" w:hint="eastAsia"/>
                <w:color w:val="000000"/>
                <w:kern w:val="0"/>
              </w:rPr>
              <w:t>如遇其指數成分證券上市地之國外證券市場休市，當日市場行情揭示排除前述次數之計算。</w:t>
            </w:r>
          </w:p>
          <w:p w:rsidR="003E7706" w:rsidRPr="00FA2377" w:rsidRDefault="003E7706" w:rsidP="00C120BB">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kern w:val="0"/>
              </w:rPr>
            </w:pPr>
            <w:r w:rsidRPr="003E7706">
              <w:rPr>
                <w:rFonts w:ascii="標楷體" w:eastAsia="標楷體" w:hAnsi="標楷體" w:cs="細明體" w:hint="eastAsia"/>
                <w:color w:val="000000"/>
                <w:kern w:val="0"/>
              </w:rPr>
              <w:t>五、</w:t>
            </w:r>
            <w:r w:rsidRPr="003E7706">
              <w:rPr>
                <w:rFonts w:eastAsia="標楷體" w:hAnsi="標楷體" w:hint="eastAsia"/>
                <w:color w:val="000000"/>
                <w:kern w:val="0"/>
              </w:rPr>
              <w:t>如遇</w:t>
            </w:r>
            <w:r w:rsidRPr="003E7706">
              <w:rPr>
                <w:rFonts w:ascii="標楷體" w:eastAsia="標楷體" w:hAnsi="標楷體" w:cs="細明體" w:hint="eastAsia"/>
                <w:color w:val="000000"/>
                <w:kern w:val="0"/>
              </w:rPr>
              <w:t>指數股票型期貨信託基金</w:t>
            </w:r>
            <w:r w:rsidRPr="003E7706">
              <w:rPr>
                <w:rFonts w:ascii="標楷體" w:eastAsia="標楷體" w:hAnsi="標楷體" w:cs="細明體"/>
                <w:color w:val="000000"/>
                <w:kern w:val="0"/>
              </w:rPr>
              <w:t>所表彰之國</w:t>
            </w:r>
            <w:r w:rsidRPr="003E7706">
              <w:rPr>
                <w:rFonts w:ascii="標楷體" w:eastAsia="標楷體" w:hAnsi="標楷體" w:cs="細明體"/>
                <w:color w:val="000000"/>
                <w:kern w:val="0"/>
              </w:rPr>
              <w:lastRenderedPageBreak/>
              <w:t>外</w:t>
            </w:r>
            <w:r w:rsidRPr="003E7706">
              <w:rPr>
                <w:rFonts w:ascii="標楷體" w:eastAsia="標楷體" w:hAnsi="標楷體" w:cs="細明體" w:hint="eastAsia"/>
                <w:color w:val="000000"/>
                <w:kern w:val="0"/>
              </w:rPr>
              <w:t>期貨契約交易市場</w:t>
            </w:r>
            <w:r w:rsidRPr="003E7706">
              <w:rPr>
                <w:rFonts w:ascii="標楷體" w:eastAsia="標楷體" w:hAnsi="標楷體" w:cs="細明體"/>
                <w:color w:val="000000"/>
                <w:kern w:val="0"/>
              </w:rPr>
              <w:t>休市時</w:t>
            </w:r>
            <w:r w:rsidRPr="003E7706">
              <w:rPr>
                <w:rFonts w:eastAsia="標楷體" w:hAnsi="標楷體" w:hint="eastAsia"/>
                <w:color w:val="000000"/>
                <w:kern w:val="0"/>
              </w:rPr>
              <w:t>，當日市場行情揭示排除前述次數之計算。</w:t>
            </w:r>
          </w:p>
        </w:tc>
        <w:tc>
          <w:tcPr>
            <w:tcW w:w="3685" w:type="dxa"/>
            <w:tcBorders>
              <w:top w:val="single" w:sz="4" w:space="0" w:color="auto"/>
              <w:left w:val="single" w:sz="4" w:space="0" w:color="auto"/>
              <w:bottom w:val="single" w:sz="4" w:space="0" w:color="auto"/>
              <w:right w:val="single" w:sz="4" w:space="0" w:color="auto"/>
            </w:tcBorders>
          </w:tcPr>
          <w:p w:rsidR="003E7706" w:rsidRPr="003E7706" w:rsidRDefault="003E7706" w:rsidP="003E7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hangingChars="402" w:hanging="965"/>
              <w:rPr>
                <w:rFonts w:eastAsia="標楷體" w:hAnsi="標楷體"/>
                <w:color w:val="000000"/>
                <w:kern w:val="0"/>
              </w:rPr>
            </w:pPr>
            <w:r w:rsidRPr="003E7706">
              <w:rPr>
                <w:rFonts w:eastAsia="標楷體" w:hAnsi="標楷體" w:hint="eastAsia"/>
                <w:color w:val="000000"/>
                <w:kern w:val="0"/>
              </w:rPr>
              <w:lastRenderedPageBreak/>
              <w:t>陸之一、</w:t>
            </w:r>
            <w:r w:rsidRPr="003E7706">
              <w:rPr>
                <w:rFonts w:eastAsia="標楷體" w:hAnsi="標楷體" w:hint="eastAsia"/>
                <w:color w:val="000000"/>
                <w:kern w:val="0"/>
              </w:rPr>
              <w:t>ETF</w:t>
            </w:r>
            <w:r w:rsidRPr="003E7706">
              <w:rPr>
                <w:rFonts w:eastAsia="標楷體" w:hAnsi="標楷體" w:hint="eastAsia"/>
                <w:kern w:val="0"/>
              </w:rPr>
              <w:t>如連續三個月有以下市場行情揭示情事，本公司將通知發行</w:t>
            </w:r>
            <w:r w:rsidRPr="003E7706">
              <w:rPr>
                <w:rFonts w:eastAsia="標楷體" w:hAnsi="標楷體" w:hint="eastAsia"/>
                <w:kern w:val="0"/>
              </w:rPr>
              <w:t>ETF</w:t>
            </w:r>
            <w:r w:rsidRPr="003E7706">
              <w:rPr>
                <w:rFonts w:eastAsia="標楷體" w:hAnsi="標楷體" w:hint="eastAsia"/>
                <w:kern w:val="0"/>
              </w:rPr>
              <w:t>之投信事業</w:t>
            </w:r>
            <w:proofErr w:type="gramStart"/>
            <w:r w:rsidRPr="003E7706">
              <w:rPr>
                <w:rFonts w:eastAsia="標楷體" w:hAnsi="標楷體" w:hint="eastAsia"/>
                <w:kern w:val="0"/>
              </w:rPr>
              <w:t>或期信事業</w:t>
            </w:r>
            <w:proofErr w:type="gramEnd"/>
            <w:r w:rsidRPr="003E7706">
              <w:rPr>
                <w:rFonts w:eastAsia="標楷體" w:hAnsi="標楷體" w:hint="eastAsia"/>
                <w:kern w:val="0"/>
              </w:rPr>
              <w:t>於通知後次月起二個月內改善；未於期限內改善者，本公司將發函警告，自次月起二個月內仍未改善，視為違反上市契約，本公司對該投信事業</w:t>
            </w:r>
            <w:proofErr w:type="gramStart"/>
            <w:r w:rsidRPr="003E7706">
              <w:rPr>
                <w:rFonts w:eastAsia="標楷體" w:hAnsi="標楷體" w:hint="eastAsia"/>
                <w:kern w:val="0"/>
              </w:rPr>
              <w:t>或期信事業</w:t>
            </w:r>
            <w:proofErr w:type="gramEnd"/>
            <w:r w:rsidRPr="003E7706">
              <w:rPr>
                <w:rFonts w:eastAsia="標楷體" w:hAnsi="標楷體" w:hint="eastAsia"/>
                <w:kern w:val="0"/>
              </w:rPr>
              <w:t>課以新臺幣</w:t>
            </w:r>
            <w:proofErr w:type="gramStart"/>
            <w:r w:rsidRPr="003E7706">
              <w:rPr>
                <w:rFonts w:eastAsia="標楷體" w:hAnsi="標楷體" w:hint="eastAsia"/>
                <w:kern w:val="0"/>
              </w:rPr>
              <w:t>三</w:t>
            </w:r>
            <w:proofErr w:type="gramEnd"/>
            <w:r w:rsidRPr="003E7706">
              <w:rPr>
                <w:rFonts w:eastAsia="標楷體" w:hAnsi="標楷體" w:hint="eastAsia"/>
                <w:kern w:val="0"/>
              </w:rPr>
              <w:t>萬元之違約金，且每三</w:t>
            </w:r>
            <w:proofErr w:type="gramStart"/>
            <w:r w:rsidRPr="003E7706">
              <w:rPr>
                <w:rFonts w:eastAsia="標楷體" w:hAnsi="標楷體" w:hint="eastAsia"/>
                <w:kern w:val="0"/>
              </w:rPr>
              <w:t>個</w:t>
            </w:r>
            <w:proofErr w:type="gramEnd"/>
            <w:r w:rsidRPr="003E7706">
              <w:rPr>
                <w:rFonts w:eastAsia="標楷體" w:hAnsi="標楷體" w:hint="eastAsia"/>
                <w:kern w:val="0"/>
              </w:rPr>
              <w:t>月查處一次並得連續處分至改善為止。</w:t>
            </w:r>
          </w:p>
          <w:p w:rsidR="003E7706" w:rsidRDefault="003E7706" w:rsidP="003E7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5"/>
              <w:rPr>
                <w:rFonts w:eastAsia="標楷體" w:hAnsi="標楷體"/>
                <w:color w:val="000000"/>
                <w:kern w:val="0"/>
              </w:rPr>
            </w:pPr>
            <w:r w:rsidRPr="003E7706">
              <w:rPr>
                <w:rFonts w:eastAsia="標楷體" w:hAnsi="標楷體" w:hint="eastAsia"/>
                <w:color w:val="000000"/>
                <w:kern w:val="0"/>
              </w:rPr>
              <w:t>依受益憑證買賣辦法第二條所稱之國內成分證券</w:t>
            </w:r>
            <w:r w:rsidRPr="003E7706">
              <w:rPr>
                <w:rFonts w:eastAsia="標楷體" w:hAnsi="標楷體"/>
                <w:color w:val="000000"/>
                <w:kern w:val="0"/>
              </w:rPr>
              <w:t>指數股票型基金</w:t>
            </w:r>
            <w:r w:rsidRPr="003E7706">
              <w:rPr>
                <w:rFonts w:eastAsia="標楷體" w:hAnsi="標楷體" w:hint="eastAsia"/>
                <w:color w:val="000000"/>
                <w:kern w:val="0"/>
              </w:rPr>
              <w:t>，其於</w:t>
            </w:r>
            <w:r w:rsidRPr="00FA023F">
              <w:rPr>
                <w:rFonts w:eastAsia="標楷體" w:hAnsi="標楷體" w:hint="eastAsia"/>
                <w:color w:val="000000"/>
                <w:kern w:val="0"/>
              </w:rPr>
              <w:t>普通交易時間</w:t>
            </w:r>
            <w:r w:rsidRPr="003E7706">
              <w:rPr>
                <w:rFonts w:eastAsia="標楷體" w:hAnsi="標楷體" w:hint="eastAsia"/>
                <w:color w:val="000000"/>
                <w:kern w:val="0"/>
              </w:rPr>
              <w:t>之市場行情揭示，每月分別不得有下列情事超過二次：</w:t>
            </w:r>
            <w:r w:rsidRPr="003E7706">
              <w:rPr>
                <w:rFonts w:eastAsia="標楷體" w:hAnsi="標楷體" w:hint="eastAsia"/>
                <w:color w:val="000000"/>
                <w:kern w:val="0"/>
              </w:rPr>
              <w:t xml:space="preserve"> </w:t>
            </w:r>
          </w:p>
          <w:p w:rsidR="004E0727" w:rsidRDefault="004E0727" w:rsidP="003E7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5"/>
              <w:rPr>
                <w:rFonts w:eastAsia="標楷體" w:hAnsi="標楷體"/>
                <w:color w:val="000000"/>
                <w:kern w:val="0"/>
              </w:rPr>
            </w:pPr>
          </w:p>
          <w:p w:rsidR="0082418C" w:rsidRPr="003E7706" w:rsidRDefault="0082418C" w:rsidP="003E7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5"/>
              <w:rPr>
                <w:rFonts w:eastAsia="標楷體" w:hAnsi="標楷體"/>
                <w:color w:val="000000"/>
                <w:kern w:val="0"/>
              </w:rPr>
            </w:pPr>
          </w:p>
          <w:p w:rsidR="003E7706" w:rsidRP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一、揭示價格除漲停買進或跌停賣出者外，市場行情揭示僅有買進或賣出揭示價格且持續逾三分鐘。</w:t>
            </w:r>
          </w:p>
          <w:p w:rsidR="003E7706" w:rsidRP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二、最佳一檔買賣價差大於百分之一且持續逾</w:t>
            </w:r>
            <w:r w:rsidRPr="003E7706">
              <w:rPr>
                <w:rFonts w:eastAsia="標楷體" w:hAnsi="標楷體" w:hint="eastAsia"/>
                <w:color w:val="000000"/>
                <w:kern w:val="0"/>
              </w:rPr>
              <w:lastRenderedPageBreak/>
              <w:t>十分鐘。</w:t>
            </w:r>
          </w:p>
          <w:p w:rsid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1390" w:hangingChars="177" w:hanging="425"/>
              <w:rPr>
                <w:rFonts w:eastAsia="標楷體" w:hAnsi="標楷體"/>
                <w:color w:val="000000"/>
                <w:kern w:val="0"/>
              </w:rPr>
            </w:pPr>
            <w:r w:rsidRPr="003E7706">
              <w:rPr>
                <w:rFonts w:eastAsia="標楷體" w:hAnsi="標楷體" w:hint="eastAsia"/>
                <w:color w:val="000000"/>
                <w:kern w:val="0"/>
              </w:rPr>
              <w:t>三、遇有本公司營業細則第五十八條之三第三項及第四項情事，須延緩撮合時間時，得排除前述時間之計算。</w:t>
            </w:r>
          </w:p>
          <w:p w:rsidR="003E7706" w:rsidRDefault="003E7706" w:rsidP="003E7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9" w:left="958" w:firstLineChars="2" w:firstLine="5"/>
              <w:rPr>
                <w:rFonts w:eastAsia="標楷體" w:hAnsi="標楷體"/>
                <w:color w:val="000000"/>
                <w:kern w:val="0"/>
              </w:rPr>
            </w:pPr>
            <w:r w:rsidRPr="003E7706">
              <w:rPr>
                <w:rFonts w:eastAsia="標楷體" w:hAnsi="標楷體" w:hint="eastAsia"/>
                <w:color w:val="000000"/>
                <w:kern w:val="0"/>
              </w:rPr>
              <w:t>依受益憑證買賣辦法第二條所稱之國外成分證券</w:t>
            </w:r>
            <w:r w:rsidRPr="003E7706">
              <w:rPr>
                <w:rFonts w:eastAsia="標楷體" w:hAnsi="標楷體"/>
                <w:color w:val="000000"/>
                <w:kern w:val="0"/>
              </w:rPr>
              <w:t>指數股票型基金</w:t>
            </w:r>
            <w:r w:rsidRPr="003E7706">
              <w:rPr>
                <w:rFonts w:eastAsia="標楷體" w:hAnsi="標楷體" w:hint="eastAsia"/>
                <w:color w:val="000000"/>
                <w:kern w:val="0"/>
              </w:rPr>
              <w:t>及</w:t>
            </w:r>
            <w:r w:rsidRPr="003E7706">
              <w:rPr>
                <w:rFonts w:ascii="標楷體" w:eastAsia="標楷體" w:hAnsi="標楷體" w:cs="細明體" w:hint="eastAsia"/>
                <w:color w:val="000000"/>
                <w:kern w:val="0"/>
              </w:rPr>
              <w:t>指數股票型期貨信託基金</w:t>
            </w:r>
            <w:r w:rsidRPr="003E7706">
              <w:rPr>
                <w:rFonts w:eastAsia="標楷體" w:hAnsi="標楷體" w:hint="eastAsia"/>
                <w:color w:val="000000"/>
                <w:kern w:val="0"/>
              </w:rPr>
              <w:t>，其於</w:t>
            </w:r>
            <w:r w:rsidRPr="00FA023F">
              <w:rPr>
                <w:rFonts w:eastAsia="標楷體" w:hAnsi="標楷體" w:hint="eastAsia"/>
                <w:color w:val="000000"/>
                <w:kern w:val="0"/>
              </w:rPr>
              <w:t>普通交易時間</w:t>
            </w:r>
            <w:r w:rsidRPr="003E7706">
              <w:rPr>
                <w:rFonts w:eastAsia="標楷體" w:hAnsi="標楷體" w:hint="eastAsia"/>
                <w:color w:val="000000"/>
                <w:kern w:val="0"/>
              </w:rPr>
              <w:t>之市場行情揭示每月合計不得有下列情事超過六次：</w:t>
            </w:r>
          </w:p>
          <w:p w:rsidR="007F2308" w:rsidRDefault="007F2308"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p>
          <w:p w:rsidR="007F2308" w:rsidRDefault="007F2308"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p>
          <w:p w:rsidR="003E7706" w:rsidRP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一、揭示價格除漲停買進或跌停賣出者外，市場行情揭示僅有買進或賣出揭示價格且持續逾十分鐘。</w:t>
            </w:r>
          </w:p>
          <w:p w:rsidR="003E7706" w:rsidRP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二、最佳一檔買賣價差大於百分之三且持續逾十分鐘。</w:t>
            </w:r>
          </w:p>
          <w:p w:rsidR="003E7706" w:rsidRP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三、遇有本公司營業細則第五十八條之三第三項及第四項情事，須延緩撮合時間，得排除前述次數之計算。</w:t>
            </w:r>
          </w:p>
          <w:p w:rsidR="003E7706" w:rsidRPr="003E7706"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rFonts w:eastAsia="標楷體" w:hAnsi="標楷體"/>
                <w:color w:val="000000"/>
                <w:kern w:val="0"/>
              </w:rPr>
            </w:pPr>
            <w:r w:rsidRPr="003E7706">
              <w:rPr>
                <w:rFonts w:eastAsia="標楷體" w:hAnsi="標楷體" w:hint="eastAsia"/>
                <w:color w:val="000000"/>
                <w:kern w:val="0"/>
              </w:rPr>
              <w:t>四、國外成分證券</w:t>
            </w:r>
            <w:r w:rsidRPr="003E7706">
              <w:rPr>
                <w:rFonts w:eastAsia="標楷體" w:hAnsi="標楷體"/>
                <w:color w:val="000000"/>
                <w:kern w:val="0"/>
              </w:rPr>
              <w:t>指數股票型基金</w:t>
            </w:r>
            <w:r w:rsidRPr="003E7706">
              <w:rPr>
                <w:rFonts w:eastAsia="標楷體" w:hAnsi="標楷體" w:hint="eastAsia"/>
                <w:color w:val="000000"/>
                <w:kern w:val="0"/>
              </w:rPr>
              <w:t>如遇其指數成分證券上市地之國外證券市場休市，當日市場行情揭示排除前述次數之計算。</w:t>
            </w:r>
          </w:p>
          <w:p w:rsidR="003E7706" w:rsidRPr="00AF7129" w:rsidRDefault="003E7706" w:rsidP="003E7706">
            <w:pPr>
              <w:widowControl/>
              <w:tabs>
                <w:tab w:val="left" w:pos="1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1" w:left="1387" w:hangingChars="177" w:hanging="425"/>
              <w:rPr>
                <w:color w:val="000000"/>
                <w:u w:val="single"/>
              </w:rPr>
            </w:pPr>
            <w:r w:rsidRPr="003E7706">
              <w:rPr>
                <w:rFonts w:ascii="標楷體" w:eastAsia="標楷體" w:hAnsi="標楷體" w:cs="細明體" w:hint="eastAsia"/>
                <w:color w:val="000000"/>
                <w:kern w:val="0"/>
              </w:rPr>
              <w:t>五、</w:t>
            </w:r>
            <w:r w:rsidRPr="003E7706">
              <w:rPr>
                <w:rFonts w:eastAsia="標楷體" w:hAnsi="標楷體" w:hint="eastAsia"/>
                <w:color w:val="000000"/>
                <w:kern w:val="0"/>
              </w:rPr>
              <w:t>如遇</w:t>
            </w:r>
            <w:r w:rsidRPr="003E7706">
              <w:rPr>
                <w:rFonts w:ascii="標楷體" w:eastAsia="標楷體" w:hAnsi="標楷體" w:cs="細明體" w:hint="eastAsia"/>
                <w:color w:val="000000"/>
                <w:kern w:val="0"/>
              </w:rPr>
              <w:t>指數股票型期貨信託基金</w:t>
            </w:r>
            <w:r w:rsidRPr="003E7706">
              <w:rPr>
                <w:rFonts w:ascii="標楷體" w:eastAsia="標楷體" w:hAnsi="標楷體" w:cs="細明體"/>
                <w:color w:val="000000"/>
                <w:kern w:val="0"/>
              </w:rPr>
              <w:t>所表彰之國</w:t>
            </w:r>
            <w:r w:rsidRPr="003E7706">
              <w:rPr>
                <w:rFonts w:ascii="標楷體" w:eastAsia="標楷體" w:hAnsi="標楷體" w:cs="細明體"/>
                <w:color w:val="000000"/>
                <w:kern w:val="0"/>
              </w:rPr>
              <w:lastRenderedPageBreak/>
              <w:t>外</w:t>
            </w:r>
            <w:r w:rsidRPr="003E7706">
              <w:rPr>
                <w:rFonts w:ascii="標楷體" w:eastAsia="標楷體" w:hAnsi="標楷體" w:cs="細明體" w:hint="eastAsia"/>
                <w:color w:val="000000"/>
                <w:kern w:val="0"/>
              </w:rPr>
              <w:t>期貨契約交易市場</w:t>
            </w:r>
            <w:r w:rsidRPr="003E7706">
              <w:rPr>
                <w:rFonts w:ascii="標楷體" w:eastAsia="標楷體" w:hAnsi="標楷體" w:cs="細明體"/>
                <w:color w:val="000000"/>
                <w:kern w:val="0"/>
              </w:rPr>
              <w:t>休市時</w:t>
            </w:r>
            <w:r w:rsidRPr="003E7706">
              <w:rPr>
                <w:rFonts w:eastAsia="標楷體" w:hAnsi="標楷體" w:hint="eastAsia"/>
                <w:color w:val="000000"/>
                <w:kern w:val="0"/>
              </w:rPr>
              <w:t>，當日市場行情揭示排除前述次數之計算。</w:t>
            </w:r>
          </w:p>
        </w:tc>
        <w:tc>
          <w:tcPr>
            <w:tcW w:w="1843" w:type="dxa"/>
            <w:tcBorders>
              <w:top w:val="single" w:sz="4" w:space="0" w:color="auto"/>
              <w:left w:val="single" w:sz="4" w:space="0" w:color="auto"/>
              <w:bottom w:val="single" w:sz="4" w:space="0" w:color="auto"/>
              <w:right w:val="single" w:sz="4" w:space="0" w:color="auto"/>
            </w:tcBorders>
          </w:tcPr>
          <w:p w:rsidR="003E7706" w:rsidRPr="00AF7129" w:rsidRDefault="00473C67" w:rsidP="00D809F6">
            <w:pPr>
              <w:spacing w:line="400" w:lineRule="exact"/>
              <w:jc w:val="both"/>
              <w:rPr>
                <w:rFonts w:eastAsia="標楷體"/>
                <w:color w:val="000000"/>
              </w:rPr>
            </w:pPr>
            <w:r>
              <w:rPr>
                <w:rFonts w:eastAsia="標楷體" w:hint="eastAsia"/>
                <w:color w:val="000000"/>
              </w:rPr>
              <w:lastRenderedPageBreak/>
              <w:t>配合</w:t>
            </w:r>
            <w:r>
              <w:rPr>
                <w:rFonts w:eastAsia="標楷體" w:hint="eastAsia"/>
                <w:color w:val="000000"/>
              </w:rPr>
              <w:t>104</w:t>
            </w:r>
            <w:r>
              <w:rPr>
                <w:rFonts w:eastAsia="標楷體" w:hint="eastAsia"/>
                <w:color w:val="000000"/>
              </w:rPr>
              <w:t>年</w:t>
            </w:r>
            <w:r>
              <w:rPr>
                <w:rFonts w:eastAsia="標楷體" w:hint="eastAsia"/>
                <w:color w:val="000000"/>
              </w:rPr>
              <w:t>6</w:t>
            </w:r>
            <w:r>
              <w:rPr>
                <w:rFonts w:eastAsia="標楷體" w:hint="eastAsia"/>
                <w:color w:val="000000"/>
              </w:rPr>
              <w:t>月</w:t>
            </w:r>
            <w:r>
              <w:rPr>
                <w:rFonts w:eastAsia="標楷體" w:hint="eastAsia"/>
                <w:color w:val="000000"/>
              </w:rPr>
              <w:t>29</w:t>
            </w:r>
            <w:r>
              <w:rPr>
                <w:rFonts w:eastAsia="標楷體" w:hint="eastAsia"/>
                <w:color w:val="000000"/>
              </w:rPr>
              <w:t>日開</w:t>
            </w:r>
            <w:r w:rsidR="007C1D64">
              <w:rPr>
                <w:rFonts w:eastAsia="標楷體" w:hint="eastAsia"/>
                <w:color w:val="000000"/>
              </w:rPr>
              <w:t>、收</w:t>
            </w:r>
            <w:r>
              <w:rPr>
                <w:rFonts w:eastAsia="標楷體" w:hint="eastAsia"/>
                <w:color w:val="000000"/>
              </w:rPr>
              <w:t>盤前資訊揭露，將</w:t>
            </w:r>
            <w:r>
              <w:rPr>
                <w:rFonts w:eastAsia="標楷體" w:hint="eastAsia"/>
                <w:color w:val="000000"/>
              </w:rPr>
              <w:t>ETF</w:t>
            </w:r>
            <w:r>
              <w:rPr>
                <w:rFonts w:eastAsia="標楷體" w:hint="eastAsia"/>
                <w:color w:val="000000"/>
              </w:rPr>
              <w:t>報價規範時段</w:t>
            </w:r>
            <w:r w:rsidR="00D809F6">
              <w:rPr>
                <w:rFonts w:eastAsia="標楷體" w:hint="eastAsia"/>
                <w:color w:val="000000"/>
              </w:rPr>
              <w:t>涵蓋開市前三十分鐘</w:t>
            </w:r>
            <w:r w:rsidR="00D809F6">
              <w:rPr>
                <w:rFonts w:eastAsia="標楷體" w:hint="eastAsia"/>
                <w:color w:val="000000"/>
              </w:rPr>
              <w:t>(</w:t>
            </w:r>
            <w:r w:rsidR="00D809F6">
              <w:rPr>
                <w:rFonts w:eastAsia="標楷體" w:hint="eastAsia"/>
                <w:color w:val="000000"/>
              </w:rPr>
              <w:t>上午</w:t>
            </w:r>
            <w:r w:rsidR="00D809F6">
              <w:rPr>
                <w:rFonts w:eastAsia="標楷體" w:hint="eastAsia"/>
                <w:color w:val="000000"/>
              </w:rPr>
              <w:t>8</w:t>
            </w:r>
            <w:r w:rsidR="00D809F6">
              <w:rPr>
                <w:rFonts w:eastAsia="標楷體" w:hint="eastAsia"/>
                <w:color w:val="000000"/>
              </w:rPr>
              <w:t>時</w:t>
            </w:r>
            <w:r w:rsidR="00D809F6">
              <w:rPr>
                <w:rFonts w:eastAsia="標楷體" w:hint="eastAsia"/>
                <w:color w:val="000000"/>
              </w:rPr>
              <w:t>30</w:t>
            </w:r>
            <w:r w:rsidR="00D809F6">
              <w:rPr>
                <w:rFonts w:eastAsia="標楷體" w:hint="eastAsia"/>
                <w:color w:val="000000"/>
              </w:rPr>
              <w:t>分至</w:t>
            </w:r>
            <w:r w:rsidR="00D809F6">
              <w:rPr>
                <w:rFonts w:eastAsia="標楷體" w:hint="eastAsia"/>
                <w:color w:val="000000"/>
              </w:rPr>
              <w:t>9</w:t>
            </w:r>
            <w:r w:rsidR="00D809F6">
              <w:rPr>
                <w:rFonts w:eastAsia="標楷體" w:hint="eastAsia"/>
                <w:color w:val="000000"/>
              </w:rPr>
              <w:t>時</w:t>
            </w:r>
            <w:r w:rsidR="00D809F6">
              <w:rPr>
                <w:rFonts w:eastAsia="標楷體" w:hint="eastAsia"/>
                <w:color w:val="000000"/>
              </w:rPr>
              <w:t>)</w:t>
            </w:r>
            <w:r w:rsidR="00D809F6">
              <w:rPr>
                <w:rFonts w:eastAsia="標楷體" w:hint="eastAsia"/>
                <w:color w:val="000000"/>
              </w:rPr>
              <w:t>及收市前一段時間</w:t>
            </w:r>
            <w:r w:rsidR="00D809F6">
              <w:rPr>
                <w:rFonts w:eastAsia="標楷體" w:hint="eastAsia"/>
                <w:color w:val="000000"/>
              </w:rPr>
              <w:t>(</w:t>
            </w:r>
            <w:r w:rsidR="00D809F6">
              <w:rPr>
                <w:rFonts w:eastAsia="標楷體" w:hint="eastAsia"/>
                <w:color w:val="000000"/>
              </w:rPr>
              <w:t>下午</w:t>
            </w:r>
            <w:r w:rsidR="00D809F6">
              <w:rPr>
                <w:rFonts w:eastAsia="標楷體" w:hint="eastAsia"/>
                <w:color w:val="000000"/>
              </w:rPr>
              <w:t>1</w:t>
            </w:r>
            <w:r w:rsidR="00D809F6">
              <w:rPr>
                <w:rFonts w:eastAsia="標楷體" w:hint="eastAsia"/>
                <w:color w:val="000000"/>
              </w:rPr>
              <w:t>時</w:t>
            </w:r>
            <w:r w:rsidR="00D809F6">
              <w:rPr>
                <w:rFonts w:eastAsia="標楷體" w:hint="eastAsia"/>
                <w:color w:val="000000"/>
              </w:rPr>
              <w:t>25</w:t>
            </w:r>
            <w:r w:rsidR="00D809F6">
              <w:rPr>
                <w:rFonts w:eastAsia="標楷體" w:hint="eastAsia"/>
                <w:color w:val="000000"/>
              </w:rPr>
              <w:t>分至</w:t>
            </w:r>
            <w:r w:rsidR="00D809F6">
              <w:rPr>
                <w:rFonts w:eastAsia="標楷體" w:hint="eastAsia"/>
                <w:color w:val="000000"/>
              </w:rPr>
              <w:t>1</w:t>
            </w:r>
            <w:r w:rsidR="00D809F6">
              <w:rPr>
                <w:rFonts w:eastAsia="標楷體" w:hint="eastAsia"/>
                <w:color w:val="000000"/>
              </w:rPr>
              <w:t>時</w:t>
            </w:r>
            <w:r w:rsidR="00D809F6">
              <w:rPr>
                <w:rFonts w:eastAsia="標楷體" w:hint="eastAsia"/>
                <w:color w:val="000000"/>
              </w:rPr>
              <w:t>30</w:t>
            </w:r>
            <w:r w:rsidR="00D809F6">
              <w:rPr>
                <w:rFonts w:eastAsia="標楷體" w:hint="eastAsia"/>
                <w:color w:val="000000"/>
              </w:rPr>
              <w:t>分</w:t>
            </w:r>
            <w:r w:rsidR="00D809F6">
              <w:rPr>
                <w:rFonts w:eastAsia="標楷體" w:hint="eastAsia"/>
                <w:color w:val="000000"/>
              </w:rPr>
              <w:t>)</w:t>
            </w:r>
            <w:r>
              <w:rPr>
                <w:rFonts w:eastAsia="標楷體" w:hint="eastAsia"/>
                <w:color w:val="000000"/>
              </w:rPr>
              <w:t>，增加</w:t>
            </w:r>
            <w:r>
              <w:rPr>
                <w:rFonts w:eastAsia="標楷體" w:hint="eastAsia"/>
                <w:color w:val="000000"/>
              </w:rPr>
              <w:t xml:space="preserve"> ETF</w:t>
            </w:r>
            <w:r>
              <w:rPr>
                <w:rFonts w:eastAsia="標楷體" w:hint="eastAsia"/>
                <w:color w:val="000000"/>
              </w:rPr>
              <w:t>報價</w:t>
            </w:r>
            <w:r w:rsidR="007C1D64">
              <w:rPr>
                <w:rFonts w:eastAsia="標楷體" w:hint="eastAsia"/>
                <w:color w:val="000000"/>
              </w:rPr>
              <w:t>義務</w:t>
            </w:r>
            <w:r>
              <w:rPr>
                <w:rFonts w:eastAsia="標楷體" w:hint="eastAsia"/>
                <w:color w:val="000000"/>
              </w:rPr>
              <w:t>時間範圍</w:t>
            </w:r>
            <w:r w:rsidR="0055040D">
              <w:rPr>
                <w:rFonts w:eastAsia="標楷體" w:hint="eastAsia"/>
                <w:color w:val="000000"/>
              </w:rPr>
              <w:t>，以及遇暫緩第一次撮合或收盤撮合期間之規定</w:t>
            </w:r>
            <w:r>
              <w:rPr>
                <w:rFonts w:eastAsia="標楷體" w:hint="eastAsia"/>
                <w:color w:val="000000"/>
              </w:rPr>
              <w:t>。</w:t>
            </w:r>
            <w:r w:rsidR="003E7706" w:rsidRPr="00AF7129">
              <w:rPr>
                <w:rFonts w:eastAsia="標楷體" w:hint="eastAsia"/>
                <w:color w:val="000000"/>
              </w:rPr>
              <w:t xml:space="preserve"> </w:t>
            </w:r>
          </w:p>
        </w:tc>
      </w:tr>
    </w:tbl>
    <w:p w:rsidR="008D74A6" w:rsidRPr="003E7706" w:rsidRDefault="00984E7C"/>
    <w:sectPr w:rsidR="008D74A6" w:rsidRPr="003E7706" w:rsidSect="004F52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7C" w:rsidRDefault="00984E7C" w:rsidP="002D0A25">
      <w:r>
        <w:separator/>
      </w:r>
    </w:p>
  </w:endnote>
  <w:endnote w:type="continuationSeparator" w:id="0">
    <w:p w:rsidR="00984E7C" w:rsidRDefault="00984E7C" w:rsidP="002D0A2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7C" w:rsidRDefault="00984E7C" w:rsidP="002D0A25">
      <w:r>
        <w:separator/>
      </w:r>
    </w:p>
  </w:footnote>
  <w:footnote w:type="continuationSeparator" w:id="0">
    <w:p w:rsidR="00984E7C" w:rsidRDefault="00984E7C" w:rsidP="002D0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52FE66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706"/>
    <w:rsid w:val="0000751A"/>
    <w:rsid w:val="000123BD"/>
    <w:rsid w:val="00025CC5"/>
    <w:rsid w:val="00041ED8"/>
    <w:rsid w:val="000475D9"/>
    <w:rsid w:val="00067CA5"/>
    <w:rsid w:val="00192AAD"/>
    <w:rsid w:val="001E0077"/>
    <w:rsid w:val="00232E8E"/>
    <w:rsid w:val="00246BB0"/>
    <w:rsid w:val="00252ADA"/>
    <w:rsid w:val="002C4CF4"/>
    <w:rsid w:val="002D0A25"/>
    <w:rsid w:val="0030048C"/>
    <w:rsid w:val="00340498"/>
    <w:rsid w:val="0038747B"/>
    <w:rsid w:val="00397883"/>
    <w:rsid w:val="003C60F1"/>
    <w:rsid w:val="003E0B8A"/>
    <w:rsid w:val="003E7706"/>
    <w:rsid w:val="00473C67"/>
    <w:rsid w:val="00473E7B"/>
    <w:rsid w:val="004B4E87"/>
    <w:rsid w:val="004D792E"/>
    <w:rsid w:val="004E0727"/>
    <w:rsid w:val="004F1A54"/>
    <w:rsid w:val="004F52A5"/>
    <w:rsid w:val="005425F0"/>
    <w:rsid w:val="0055040D"/>
    <w:rsid w:val="005C54B3"/>
    <w:rsid w:val="00613737"/>
    <w:rsid w:val="00623279"/>
    <w:rsid w:val="0066237B"/>
    <w:rsid w:val="00677AF2"/>
    <w:rsid w:val="006A0571"/>
    <w:rsid w:val="006A2A0D"/>
    <w:rsid w:val="006D4048"/>
    <w:rsid w:val="006F3728"/>
    <w:rsid w:val="007A2372"/>
    <w:rsid w:val="007C1D64"/>
    <w:rsid w:val="007E1FB4"/>
    <w:rsid w:val="007F2308"/>
    <w:rsid w:val="0082418C"/>
    <w:rsid w:val="008D3AA7"/>
    <w:rsid w:val="008D536F"/>
    <w:rsid w:val="00950798"/>
    <w:rsid w:val="00984E7C"/>
    <w:rsid w:val="00992623"/>
    <w:rsid w:val="009D42CF"/>
    <w:rsid w:val="009E1CA7"/>
    <w:rsid w:val="009F65B3"/>
    <w:rsid w:val="00A44AFF"/>
    <w:rsid w:val="00AA0875"/>
    <w:rsid w:val="00AE4667"/>
    <w:rsid w:val="00AF087E"/>
    <w:rsid w:val="00B44294"/>
    <w:rsid w:val="00B465B4"/>
    <w:rsid w:val="00B50A47"/>
    <w:rsid w:val="00B85ECF"/>
    <w:rsid w:val="00BC6EEF"/>
    <w:rsid w:val="00C2039D"/>
    <w:rsid w:val="00D13E6A"/>
    <w:rsid w:val="00D4534F"/>
    <w:rsid w:val="00D56C2E"/>
    <w:rsid w:val="00D65495"/>
    <w:rsid w:val="00D809F6"/>
    <w:rsid w:val="00D829BA"/>
    <w:rsid w:val="00DD7C7D"/>
    <w:rsid w:val="00DE0B55"/>
    <w:rsid w:val="00E36D6B"/>
    <w:rsid w:val="00EC5362"/>
    <w:rsid w:val="00EE4782"/>
    <w:rsid w:val="00F32036"/>
    <w:rsid w:val="00F62125"/>
    <w:rsid w:val="00F70860"/>
    <w:rsid w:val="00F72FB2"/>
    <w:rsid w:val="00F83583"/>
    <w:rsid w:val="00FA023F"/>
    <w:rsid w:val="00FA2EB4"/>
    <w:rsid w:val="00FC7791"/>
    <w:rsid w:val="00FD2E8B"/>
    <w:rsid w:val="00FE0B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06"/>
    <w:pPr>
      <w:widowControl w:val="0"/>
    </w:pPr>
    <w:rPr>
      <w:kern w:val="2"/>
      <w:sz w:val="24"/>
      <w:szCs w:val="24"/>
    </w:rPr>
  </w:style>
  <w:style w:type="paragraph" w:styleId="1">
    <w:name w:val="heading 1"/>
    <w:aliases w:val="題號1"/>
    <w:basedOn w:val="a"/>
    <w:link w:val="10"/>
    <w:qFormat/>
    <w:rsid w:val="008D536F"/>
    <w:pPr>
      <w:numPr>
        <w:numId w:val="8"/>
      </w:numPr>
      <w:kinsoku w:val="0"/>
      <w:jc w:val="both"/>
      <w:outlineLvl w:val="0"/>
    </w:pPr>
    <w:rPr>
      <w:rFonts w:ascii="標楷體" w:hAnsi="Arial"/>
      <w:bCs/>
      <w:kern w:val="0"/>
      <w:szCs w:val="52"/>
    </w:rPr>
  </w:style>
  <w:style w:type="paragraph" w:styleId="2">
    <w:name w:val="heading 2"/>
    <w:aliases w:val="標題110/111,節,節1"/>
    <w:basedOn w:val="a"/>
    <w:link w:val="20"/>
    <w:qFormat/>
    <w:rsid w:val="008D536F"/>
    <w:pPr>
      <w:numPr>
        <w:ilvl w:val="1"/>
        <w:numId w:val="8"/>
      </w:numPr>
      <w:kinsoku w:val="0"/>
      <w:jc w:val="both"/>
      <w:outlineLvl w:val="1"/>
    </w:pPr>
    <w:rPr>
      <w:rFonts w:ascii="標楷體" w:hAnsi="Arial"/>
      <w:bCs/>
      <w:kern w:val="0"/>
      <w:szCs w:val="48"/>
    </w:rPr>
  </w:style>
  <w:style w:type="paragraph" w:styleId="3">
    <w:name w:val="heading 3"/>
    <w:basedOn w:val="a"/>
    <w:link w:val="30"/>
    <w:qFormat/>
    <w:rsid w:val="008D536F"/>
    <w:pPr>
      <w:numPr>
        <w:ilvl w:val="2"/>
        <w:numId w:val="8"/>
      </w:numPr>
      <w:kinsoku w:val="0"/>
      <w:jc w:val="both"/>
      <w:outlineLvl w:val="2"/>
    </w:pPr>
    <w:rPr>
      <w:rFonts w:ascii="標楷體" w:hAnsi="Arial"/>
      <w:bCs/>
      <w:kern w:val="0"/>
      <w:szCs w:val="36"/>
    </w:rPr>
  </w:style>
  <w:style w:type="paragraph" w:styleId="4">
    <w:name w:val="heading 4"/>
    <w:aliases w:val="表格"/>
    <w:basedOn w:val="a"/>
    <w:link w:val="40"/>
    <w:qFormat/>
    <w:rsid w:val="008D536F"/>
    <w:pPr>
      <w:numPr>
        <w:ilvl w:val="3"/>
        <w:numId w:val="8"/>
      </w:numPr>
      <w:jc w:val="both"/>
      <w:outlineLvl w:val="3"/>
    </w:pPr>
    <w:rPr>
      <w:rFonts w:ascii="標楷體" w:hAnsi="Arial"/>
      <w:szCs w:val="36"/>
    </w:rPr>
  </w:style>
  <w:style w:type="paragraph" w:styleId="5">
    <w:name w:val="heading 5"/>
    <w:basedOn w:val="a"/>
    <w:link w:val="50"/>
    <w:qFormat/>
    <w:rsid w:val="008D536F"/>
    <w:pPr>
      <w:numPr>
        <w:ilvl w:val="4"/>
        <w:numId w:val="8"/>
      </w:numPr>
      <w:kinsoku w:val="0"/>
      <w:jc w:val="both"/>
      <w:outlineLvl w:val="4"/>
    </w:pPr>
    <w:rPr>
      <w:rFonts w:ascii="標楷體" w:hAnsi="Arial"/>
      <w:bCs/>
      <w:szCs w:val="36"/>
    </w:rPr>
  </w:style>
  <w:style w:type="paragraph" w:styleId="6">
    <w:name w:val="heading 6"/>
    <w:basedOn w:val="a"/>
    <w:link w:val="60"/>
    <w:qFormat/>
    <w:rsid w:val="008D536F"/>
    <w:pPr>
      <w:numPr>
        <w:ilvl w:val="5"/>
        <w:numId w:val="8"/>
      </w:numPr>
      <w:tabs>
        <w:tab w:val="left" w:pos="2094"/>
      </w:tabs>
      <w:kinsoku w:val="0"/>
      <w:jc w:val="both"/>
      <w:outlineLvl w:val="5"/>
    </w:pPr>
    <w:rPr>
      <w:rFonts w:ascii="標楷體" w:hAnsi="Arial"/>
      <w:szCs w:val="36"/>
    </w:rPr>
  </w:style>
  <w:style w:type="paragraph" w:styleId="7">
    <w:name w:val="heading 7"/>
    <w:basedOn w:val="a"/>
    <w:link w:val="70"/>
    <w:qFormat/>
    <w:rsid w:val="008D536F"/>
    <w:pPr>
      <w:numPr>
        <w:ilvl w:val="6"/>
        <w:numId w:val="8"/>
      </w:numPr>
      <w:kinsoku w:val="0"/>
      <w:jc w:val="both"/>
      <w:outlineLvl w:val="6"/>
    </w:pPr>
    <w:rPr>
      <w:rFonts w:ascii="標楷體" w:hAnsi="Arial"/>
      <w:bCs/>
      <w:szCs w:val="36"/>
    </w:rPr>
  </w:style>
  <w:style w:type="paragraph" w:styleId="8">
    <w:name w:val="heading 8"/>
    <w:basedOn w:val="a"/>
    <w:link w:val="80"/>
    <w:qFormat/>
    <w:rsid w:val="008D536F"/>
    <w:pPr>
      <w:numPr>
        <w:ilvl w:val="7"/>
        <w:numId w:val="8"/>
      </w:numPr>
      <w:kinsoku w:val="0"/>
      <w:jc w:val="both"/>
      <w:outlineLvl w:val="7"/>
    </w:pPr>
    <w:rPr>
      <w:rFonts w:ascii="標楷體" w:hAnsi="Arial"/>
      <w:szCs w:val="36"/>
    </w:rPr>
  </w:style>
  <w:style w:type="paragraph" w:styleId="9">
    <w:name w:val="heading 9"/>
    <w:basedOn w:val="a"/>
    <w:next w:val="a0"/>
    <w:link w:val="90"/>
    <w:qFormat/>
    <w:rsid w:val="008D536F"/>
    <w:pPr>
      <w:keepNext/>
      <w:snapToGrid w:val="0"/>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Rank5content">
    <w:name w:val="（1）內文(Rank 5 content)"/>
    <w:basedOn w:val="a"/>
    <w:uiPriority w:val="99"/>
    <w:rsid w:val="00623279"/>
    <w:pPr>
      <w:spacing w:line="480" w:lineRule="exact"/>
      <w:ind w:leftChars="478" w:left="1147" w:firstLineChars="155" w:firstLine="434"/>
    </w:pPr>
    <w:rPr>
      <w:sz w:val="28"/>
    </w:rPr>
  </w:style>
  <w:style w:type="paragraph" w:customStyle="1" w:styleId="1Rank5title">
    <w:name w:val="（1）標題(Rank 5 title)"/>
    <w:basedOn w:val="a"/>
    <w:uiPriority w:val="99"/>
    <w:rsid w:val="00623279"/>
    <w:pPr>
      <w:spacing w:beforeLines="50" w:afterLines="50" w:line="480" w:lineRule="exact"/>
      <w:ind w:leftChars="413" w:left="1579" w:hangingChars="210" w:hanging="588"/>
    </w:pPr>
    <w:rPr>
      <w:sz w:val="28"/>
    </w:rPr>
  </w:style>
  <w:style w:type="paragraph" w:customStyle="1" w:styleId="Rank3content">
    <w:name w:val="（一）內文(Rank 3 content)"/>
    <w:basedOn w:val="a"/>
    <w:uiPriority w:val="99"/>
    <w:rsid w:val="00623279"/>
    <w:pPr>
      <w:spacing w:line="480" w:lineRule="exact"/>
      <w:ind w:leftChars="169" w:left="406" w:firstLineChars="223" w:firstLine="624"/>
    </w:pPr>
    <w:rPr>
      <w:sz w:val="28"/>
    </w:rPr>
  </w:style>
  <w:style w:type="paragraph" w:customStyle="1" w:styleId="Rank3title">
    <w:name w:val="（一）標題(Rank 3 title)"/>
    <w:basedOn w:val="a"/>
    <w:uiPriority w:val="99"/>
    <w:rsid w:val="00623279"/>
    <w:pPr>
      <w:spacing w:beforeLines="50" w:afterLines="50" w:line="480" w:lineRule="exact"/>
      <w:ind w:leftChars="122" w:left="1032" w:hangingChars="264" w:hanging="739"/>
    </w:pPr>
    <w:rPr>
      <w:sz w:val="28"/>
    </w:rPr>
  </w:style>
  <w:style w:type="paragraph" w:customStyle="1" w:styleId="1Rank4content">
    <w:name w:val="1.內文(Rank 4 content)"/>
    <w:basedOn w:val="a"/>
    <w:uiPriority w:val="99"/>
    <w:rsid w:val="00623279"/>
    <w:pPr>
      <w:spacing w:line="480" w:lineRule="exact"/>
      <w:ind w:leftChars="233" w:left="559" w:firstLineChars="124" w:firstLine="347"/>
    </w:pPr>
    <w:rPr>
      <w:sz w:val="28"/>
    </w:rPr>
  </w:style>
  <w:style w:type="paragraph" w:customStyle="1" w:styleId="1Rank4title">
    <w:name w:val="1.標題(Rank 4 title)"/>
    <w:basedOn w:val="a"/>
    <w:uiPriority w:val="99"/>
    <w:rsid w:val="00623279"/>
    <w:pPr>
      <w:spacing w:beforeLines="50" w:afterLines="50" w:line="480" w:lineRule="exact"/>
      <w:ind w:leftChars="227" w:left="906" w:hangingChars="129" w:hanging="361"/>
    </w:pPr>
    <w:rPr>
      <w:sz w:val="28"/>
    </w:rPr>
  </w:style>
  <w:style w:type="paragraph" w:customStyle="1" w:styleId="a41">
    <w:name w:val="a41"/>
    <w:basedOn w:val="a"/>
    <w:uiPriority w:val="99"/>
    <w:rsid w:val="00623279"/>
    <w:pPr>
      <w:widowControl/>
      <w:spacing w:after="120" w:line="384" w:lineRule="auto"/>
    </w:pPr>
    <w:rPr>
      <w:rFonts w:ascii="Arial" w:hAnsi="Arial" w:cs="Arial"/>
      <w:kern w:val="0"/>
    </w:rPr>
  </w:style>
  <w:style w:type="paragraph" w:styleId="HTML">
    <w:name w:val="HTML Preformatted"/>
    <w:basedOn w:val="a"/>
    <w:link w:val="HTML0"/>
    <w:uiPriority w:val="99"/>
    <w:rsid w:val="0062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rPr>
  </w:style>
  <w:style w:type="character" w:customStyle="1" w:styleId="HTML0">
    <w:name w:val="HTML 預設格式 字元"/>
    <w:basedOn w:val="a1"/>
    <w:link w:val="HTML"/>
    <w:uiPriority w:val="99"/>
    <w:rsid w:val="00623279"/>
    <w:rPr>
      <w:rFonts w:ascii="細明體" w:eastAsia="細明體" w:hAnsi="細明體" w:cs="Times New Roman"/>
      <w:color w:val="333333"/>
      <w:kern w:val="0"/>
      <w:szCs w:val="24"/>
    </w:rPr>
  </w:style>
  <w:style w:type="paragraph" w:customStyle="1" w:styleId="listcontinue2">
    <w:name w:val="listcontinue2"/>
    <w:basedOn w:val="a"/>
    <w:next w:val="a"/>
    <w:uiPriority w:val="99"/>
    <w:rsid w:val="00623279"/>
    <w:pPr>
      <w:autoSpaceDE w:val="0"/>
      <w:autoSpaceDN w:val="0"/>
      <w:adjustRightInd w:val="0"/>
      <w:spacing w:before="100" w:after="100"/>
    </w:pPr>
    <w:rPr>
      <w:rFonts w:ascii="新細明體..." w:eastAsia="新細明體..."/>
    </w:rPr>
  </w:style>
  <w:style w:type="paragraph" w:customStyle="1" w:styleId="xl28">
    <w:name w:val="xl28"/>
    <w:basedOn w:val="a"/>
    <w:uiPriority w:val="99"/>
    <w:rsid w:val="006232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rPr>
  </w:style>
  <w:style w:type="paragraph" w:customStyle="1" w:styleId="Rank2content">
    <w:name w:val="一內文(Rank 2 content)"/>
    <w:basedOn w:val="a"/>
    <w:uiPriority w:val="99"/>
    <w:rsid w:val="00623279"/>
    <w:pPr>
      <w:spacing w:line="480" w:lineRule="exact"/>
      <w:ind w:leftChars="74" w:left="178" w:firstLineChars="200" w:firstLine="560"/>
    </w:pPr>
    <w:rPr>
      <w:sz w:val="28"/>
    </w:rPr>
  </w:style>
  <w:style w:type="paragraph" w:customStyle="1" w:styleId="Rank2title">
    <w:name w:val="一標題(Rank 2 title)"/>
    <w:basedOn w:val="a"/>
    <w:uiPriority w:val="99"/>
    <w:rsid w:val="00623279"/>
    <w:pPr>
      <w:spacing w:beforeLines="50" w:afterLines="50" w:line="480" w:lineRule="exact"/>
      <w:ind w:leftChars="75" w:left="768" w:hangingChars="210" w:hanging="588"/>
    </w:pPr>
    <w:rPr>
      <w:sz w:val="28"/>
    </w:rPr>
  </w:style>
  <w:style w:type="character" w:styleId="a4">
    <w:name w:val="FollowedHyperlink"/>
    <w:uiPriority w:val="99"/>
    <w:semiHidden/>
    <w:rsid w:val="00623279"/>
    <w:rPr>
      <w:rFonts w:cs="Times New Roman"/>
      <w:color w:val="800080"/>
      <w:u w:val="single"/>
    </w:rPr>
  </w:style>
  <w:style w:type="paragraph" w:styleId="a5">
    <w:name w:val="Body Text Indent"/>
    <w:basedOn w:val="a"/>
    <w:link w:val="a6"/>
    <w:uiPriority w:val="99"/>
    <w:semiHidden/>
    <w:rsid w:val="00623279"/>
    <w:pPr>
      <w:ind w:firstLineChars="225" w:firstLine="540"/>
    </w:pPr>
    <w:rPr>
      <w:kern w:val="0"/>
    </w:rPr>
  </w:style>
  <w:style w:type="character" w:customStyle="1" w:styleId="a6">
    <w:name w:val="本文縮排 字元"/>
    <w:basedOn w:val="a1"/>
    <w:link w:val="a5"/>
    <w:uiPriority w:val="99"/>
    <w:semiHidden/>
    <w:rsid w:val="00623279"/>
    <w:rPr>
      <w:rFonts w:ascii="Times New Roman" w:eastAsia="標楷體" w:hAnsi="Times New Roman" w:cs="Times New Roman"/>
      <w:kern w:val="0"/>
      <w:szCs w:val="24"/>
    </w:rPr>
  </w:style>
  <w:style w:type="paragraph" w:styleId="21">
    <w:name w:val="Body Text Indent 2"/>
    <w:basedOn w:val="a"/>
    <w:link w:val="22"/>
    <w:uiPriority w:val="99"/>
    <w:semiHidden/>
    <w:rsid w:val="00623279"/>
    <w:pPr>
      <w:ind w:leftChars="150" w:left="360" w:firstLineChars="225" w:firstLine="540"/>
    </w:pPr>
    <w:rPr>
      <w:kern w:val="0"/>
    </w:rPr>
  </w:style>
  <w:style w:type="character" w:customStyle="1" w:styleId="22">
    <w:name w:val="本文縮排 2 字元"/>
    <w:basedOn w:val="a1"/>
    <w:link w:val="21"/>
    <w:uiPriority w:val="99"/>
    <w:semiHidden/>
    <w:rsid w:val="00623279"/>
    <w:rPr>
      <w:rFonts w:ascii="Times New Roman" w:eastAsia="標楷體" w:hAnsi="Times New Roman" w:cs="Times New Roman"/>
      <w:kern w:val="0"/>
      <w:szCs w:val="24"/>
    </w:rPr>
  </w:style>
  <w:style w:type="paragraph" w:styleId="31">
    <w:name w:val="Body Text Indent 3"/>
    <w:basedOn w:val="a"/>
    <w:link w:val="32"/>
    <w:uiPriority w:val="99"/>
    <w:semiHidden/>
    <w:rsid w:val="00623279"/>
    <w:pPr>
      <w:ind w:leftChars="375" w:left="900" w:firstLineChars="225" w:firstLine="540"/>
    </w:pPr>
    <w:rPr>
      <w:kern w:val="0"/>
    </w:rPr>
  </w:style>
  <w:style w:type="character" w:customStyle="1" w:styleId="32">
    <w:name w:val="本文縮排 3 字元"/>
    <w:basedOn w:val="a1"/>
    <w:link w:val="31"/>
    <w:uiPriority w:val="99"/>
    <w:semiHidden/>
    <w:rsid w:val="00623279"/>
    <w:rPr>
      <w:rFonts w:ascii="Times New Roman" w:eastAsia="標楷體" w:hAnsi="Times New Roman" w:cs="Times New Roman"/>
      <w:kern w:val="0"/>
      <w:szCs w:val="24"/>
    </w:rPr>
  </w:style>
  <w:style w:type="paragraph" w:styleId="11">
    <w:name w:val="toc 1"/>
    <w:basedOn w:val="a"/>
    <w:next w:val="a"/>
    <w:autoRedefine/>
    <w:uiPriority w:val="39"/>
    <w:rsid w:val="00623279"/>
    <w:pPr>
      <w:spacing w:before="120" w:after="120"/>
    </w:pPr>
    <w:rPr>
      <w:rFonts w:ascii="Calibri" w:hAnsi="Calibri"/>
      <w:b/>
      <w:bCs/>
      <w:caps/>
      <w:sz w:val="20"/>
    </w:rPr>
  </w:style>
  <w:style w:type="paragraph" w:styleId="23">
    <w:name w:val="toc 2"/>
    <w:basedOn w:val="a"/>
    <w:next w:val="a"/>
    <w:autoRedefine/>
    <w:uiPriority w:val="39"/>
    <w:rsid w:val="00623279"/>
    <w:pPr>
      <w:ind w:left="240"/>
    </w:pPr>
    <w:rPr>
      <w:rFonts w:ascii="Calibri" w:hAnsi="Calibri"/>
      <w:smallCaps/>
      <w:sz w:val="20"/>
    </w:rPr>
  </w:style>
  <w:style w:type="paragraph" w:styleId="33">
    <w:name w:val="toc 3"/>
    <w:basedOn w:val="a"/>
    <w:next w:val="a"/>
    <w:autoRedefine/>
    <w:uiPriority w:val="39"/>
    <w:semiHidden/>
    <w:rsid w:val="00623279"/>
    <w:pPr>
      <w:ind w:left="480"/>
    </w:pPr>
    <w:rPr>
      <w:rFonts w:ascii="Calibri" w:hAnsi="Calibri"/>
      <w:i/>
      <w:iCs/>
      <w:sz w:val="20"/>
    </w:rPr>
  </w:style>
  <w:style w:type="paragraph" w:styleId="41">
    <w:name w:val="toc 4"/>
    <w:basedOn w:val="a"/>
    <w:next w:val="a"/>
    <w:autoRedefine/>
    <w:uiPriority w:val="99"/>
    <w:semiHidden/>
    <w:rsid w:val="00623279"/>
    <w:pPr>
      <w:ind w:left="720"/>
    </w:pPr>
    <w:rPr>
      <w:rFonts w:ascii="Calibri" w:hAnsi="Calibri"/>
      <w:sz w:val="18"/>
      <w:szCs w:val="18"/>
    </w:rPr>
  </w:style>
  <w:style w:type="paragraph" w:styleId="51">
    <w:name w:val="toc 5"/>
    <w:basedOn w:val="a"/>
    <w:next w:val="a"/>
    <w:autoRedefine/>
    <w:uiPriority w:val="99"/>
    <w:semiHidden/>
    <w:rsid w:val="00623279"/>
    <w:pPr>
      <w:ind w:left="960"/>
    </w:pPr>
    <w:rPr>
      <w:rFonts w:ascii="Calibri" w:hAnsi="Calibri"/>
      <w:sz w:val="18"/>
      <w:szCs w:val="18"/>
    </w:rPr>
  </w:style>
  <w:style w:type="paragraph" w:styleId="61">
    <w:name w:val="toc 6"/>
    <w:basedOn w:val="a"/>
    <w:next w:val="a"/>
    <w:autoRedefine/>
    <w:uiPriority w:val="99"/>
    <w:semiHidden/>
    <w:rsid w:val="00623279"/>
    <w:pPr>
      <w:ind w:left="1200"/>
    </w:pPr>
    <w:rPr>
      <w:rFonts w:ascii="Calibri" w:hAnsi="Calibri"/>
      <w:sz w:val="18"/>
      <w:szCs w:val="18"/>
    </w:rPr>
  </w:style>
  <w:style w:type="paragraph" w:styleId="71">
    <w:name w:val="toc 7"/>
    <w:basedOn w:val="a"/>
    <w:next w:val="a"/>
    <w:autoRedefine/>
    <w:uiPriority w:val="39"/>
    <w:unhideWhenUsed/>
    <w:rsid w:val="00623279"/>
    <w:pPr>
      <w:ind w:left="1440"/>
    </w:pPr>
    <w:rPr>
      <w:rFonts w:ascii="Calibri" w:hAnsi="Calibri"/>
      <w:sz w:val="18"/>
      <w:szCs w:val="18"/>
    </w:rPr>
  </w:style>
  <w:style w:type="paragraph" w:styleId="81">
    <w:name w:val="toc 8"/>
    <w:basedOn w:val="a"/>
    <w:next w:val="a"/>
    <w:autoRedefine/>
    <w:uiPriority w:val="39"/>
    <w:unhideWhenUsed/>
    <w:rsid w:val="00623279"/>
    <w:pPr>
      <w:ind w:left="1680"/>
    </w:pPr>
    <w:rPr>
      <w:rFonts w:ascii="Calibri" w:hAnsi="Calibri"/>
      <w:sz w:val="18"/>
      <w:szCs w:val="18"/>
    </w:rPr>
  </w:style>
  <w:style w:type="paragraph" w:styleId="91">
    <w:name w:val="toc 9"/>
    <w:basedOn w:val="a"/>
    <w:next w:val="a"/>
    <w:autoRedefine/>
    <w:uiPriority w:val="39"/>
    <w:unhideWhenUsed/>
    <w:rsid w:val="00623279"/>
    <w:pPr>
      <w:ind w:left="1920"/>
    </w:pPr>
    <w:rPr>
      <w:rFonts w:ascii="Calibri" w:hAnsi="Calibri"/>
      <w:sz w:val="18"/>
      <w:szCs w:val="18"/>
    </w:rPr>
  </w:style>
  <w:style w:type="character" w:customStyle="1" w:styleId="10">
    <w:name w:val="標題 1 字元"/>
    <w:aliases w:val="題號1 字元"/>
    <w:basedOn w:val="a1"/>
    <w:link w:val="1"/>
    <w:rsid w:val="008D536F"/>
    <w:rPr>
      <w:rFonts w:ascii="標楷體" w:eastAsia="標楷體" w:hAnsi="Arial"/>
      <w:bCs/>
      <w:sz w:val="32"/>
      <w:szCs w:val="52"/>
    </w:rPr>
  </w:style>
  <w:style w:type="paragraph" w:styleId="a7">
    <w:name w:val="TOC Heading"/>
    <w:basedOn w:val="1"/>
    <w:next w:val="a"/>
    <w:uiPriority w:val="39"/>
    <w:semiHidden/>
    <w:unhideWhenUsed/>
    <w:qFormat/>
    <w:rsid w:val="00623279"/>
    <w:pPr>
      <w:keepNext/>
      <w:numPr>
        <w:numId w:val="0"/>
      </w:numPr>
      <w:kinsoku/>
      <w:spacing w:before="180" w:after="180" w:line="720" w:lineRule="auto"/>
      <w:jc w:val="left"/>
      <w:outlineLvl w:val="9"/>
    </w:pPr>
    <w:rPr>
      <w:rFonts w:asciiTheme="majorHAnsi" w:eastAsiaTheme="majorEastAsia" w:hAnsiTheme="majorHAnsi" w:cstheme="majorBidi"/>
      <w:b/>
      <w:kern w:val="52"/>
      <w:sz w:val="52"/>
    </w:rPr>
  </w:style>
  <w:style w:type="table" w:styleId="a8">
    <w:name w:val="Table Grid"/>
    <w:basedOn w:val="a2"/>
    <w:uiPriority w:val="99"/>
    <w:rsid w:val="0062327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表樣式"/>
    <w:basedOn w:val="1Rank4content"/>
    <w:uiPriority w:val="99"/>
    <w:rsid w:val="00623279"/>
    <w:pPr>
      <w:ind w:leftChars="205" w:left="1315" w:hangingChars="294" w:hanging="823"/>
    </w:pPr>
  </w:style>
  <w:style w:type="paragraph" w:styleId="aa">
    <w:name w:val="footer"/>
    <w:basedOn w:val="a"/>
    <w:link w:val="ab"/>
    <w:uiPriority w:val="99"/>
    <w:rsid w:val="00623279"/>
    <w:pPr>
      <w:tabs>
        <w:tab w:val="center" w:pos="4153"/>
        <w:tab w:val="right" w:pos="8306"/>
      </w:tabs>
      <w:snapToGrid w:val="0"/>
    </w:pPr>
    <w:rPr>
      <w:kern w:val="0"/>
      <w:sz w:val="20"/>
    </w:rPr>
  </w:style>
  <w:style w:type="character" w:customStyle="1" w:styleId="ab">
    <w:name w:val="頁尾 字元"/>
    <w:basedOn w:val="a1"/>
    <w:link w:val="aa"/>
    <w:uiPriority w:val="99"/>
    <w:rsid w:val="00623279"/>
    <w:rPr>
      <w:rFonts w:ascii="Times New Roman" w:eastAsia="新細明體" w:hAnsi="Times New Roman" w:cs="Times New Roman"/>
      <w:kern w:val="0"/>
      <w:sz w:val="20"/>
      <w:szCs w:val="20"/>
    </w:rPr>
  </w:style>
  <w:style w:type="paragraph" w:styleId="ac">
    <w:name w:val="header"/>
    <w:basedOn w:val="a"/>
    <w:link w:val="ad"/>
    <w:uiPriority w:val="99"/>
    <w:semiHidden/>
    <w:rsid w:val="00623279"/>
    <w:pPr>
      <w:tabs>
        <w:tab w:val="center" w:pos="4153"/>
        <w:tab w:val="right" w:pos="8306"/>
      </w:tabs>
      <w:snapToGrid w:val="0"/>
    </w:pPr>
    <w:rPr>
      <w:kern w:val="0"/>
      <w:sz w:val="20"/>
    </w:rPr>
  </w:style>
  <w:style w:type="character" w:customStyle="1" w:styleId="ad">
    <w:name w:val="頁首 字元"/>
    <w:basedOn w:val="a1"/>
    <w:link w:val="ac"/>
    <w:uiPriority w:val="99"/>
    <w:semiHidden/>
    <w:rsid w:val="00623279"/>
    <w:rPr>
      <w:rFonts w:ascii="Times New Roman" w:eastAsia="新細明體" w:hAnsi="Times New Roman" w:cs="Times New Roman"/>
      <w:kern w:val="0"/>
      <w:sz w:val="20"/>
      <w:szCs w:val="20"/>
    </w:rPr>
  </w:style>
  <w:style w:type="character" w:styleId="ae">
    <w:name w:val="page number"/>
    <w:uiPriority w:val="99"/>
    <w:semiHidden/>
    <w:rsid w:val="00623279"/>
    <w:rPr>
      <w:rFonts w:cs="Times New Roman"/>
    </w:rPr>
  </w:style>
  <w:style w:type="paragraph" w:customStyle="1" w:styleId="12">
    <w:name w:val="純文字1"/>
    <w:basedOn w:val="a"/>
    <w:rsid w:val="00623279"/>
    <w:pPr>
      <w:adjustRightInd w:val="0"/>
      <w:textAlignment w:val="baseline"/>
    </w:pPr>
    <w:rPr>
      <w:rFonts w:ascii="細明體" w:eastAsia="細明體" w:hAnsi="Courier New"/>
    </w:rPr>
  </w:style>
  <w:style w:type="paragraph" w:styleId="13">
    <w:name w:val="index 1"/>
    <w:basedOn w:val="a"/>
    <w:next w:val="a"/>
    <w:autoRedefine/>
    <w:uiPriority w:val="99"/>
    <w:semiHidden/>
    <w:unhideWhenUsed/>
    <w:rsid w:val="00623279"/>
    <w:rPr>
      <w:sz w:val="28"/>
    </w:rPr>
  </w:style>
  <w:style w:type="paragraph" w:styleId="af">
    <w:name w:val="List Paragraph"/>
    <w:basedOn w:val="a"/>
    <w:uiPriority w:val="34"/>
    <w:qFormat/>
    <w:rsid w:val="008D536F"/>
    <w:pPr>
      <w:ind w:leftChars="200" w:left="480"/>
    </w:pPr>
  </w:style>
  <w:style w:type="paragraph" w:customStyle="1" w:styleId="Rank6content">
    <w:name w:val="第六內文(Rank 6 content)"/>
    <w:basedOn w:val="a"/>
    <w:uiPriority w:val="99"/>
    <w:rsid w:val="00623279"/>
    <w:pPr>
      <w:spacing w:line="480" w:lineRule="exact"/>
      <w:ind w:leftChars="758" w:left="1819" w:firstLineChars="84" w:firstLine="235"/>
    </w:pPr>
    <w:rPr>
      <w:sz w:val="28"/>
    </w:rPr>
  </w:style>
  <w:style w:type="paragraph" w:customStyle="1" w:styleId="Rank6title">
    <w:name w:val="第六標題(Rank 6 title)"/>
    <w:basedOn w:val="a"/>
    <w:uiPriority w:val="99"/>
    <w:rsid w:val="00623279"/>
    <w:pPr>
      <w:spacing w:beforeLines="50" w:afterLines="50" w:line="480" w:lineRule="exact"/>
      <w:ind w:leftChars="757" w:left="2055" w:hangingChars="85" w:hanging="238"/>
    </w:pPr>
    <w:rPr>
      <w:sz w:val="28"/>
    </w:rPr>
  </w:style>
  <w:style w:type="paragraph" w:customStyle="1" w:styleId="Rank1content">
    <w:name w:val="壹內文(Rank 1 content)"/>
    <w:basedOn w:val="a"/>
    <w:uiPriority w:val="99"/>
    <w:rsid w:val="00623279"/>
    <w:pPr>
      <w:spacing w:line="480" w:lineRule="exact"/>
      <w:ind w:leftChars="17" w:left="41" w:firstLine="420"/>
    </w:pPr>
    <w:rPr>
      <w:sz w:val="28"/>
    </w:rPr>
  </w:style>
  <w:style w:type="paragraph" w:customStyle="1" w:styleId="Rank1title">
    <w:name w:val="壹標題(Rank 1 title)"/>
    <w:basedOn w:val="a"/>
    <w:uiPriority w:val="99"/>
    <w:rsid w:val="00623279"/>
    <w:pPr>
      <w:spacing w:afterLines="50" w:line="480" w:lineRule="exact"/>
      <w:ind w:left="462" w:hangingChars="165" w:hanging="462"/>
    </w:pPr>
    <w:rPr>
      <w:b/>
      <w:bCs/>
      <w:sz w:val="28"/>
    </w:rPr>
  </w:style>
  <w:style w:type="paragraph" w:styleId="af0">
    <w:name w:val="footnote text"/>
    <w:basedOn w:val="a"/>
    <w:link w:val="af1"/>
    <w:uiPriority w:val="99"/>
    <w:semiHidden/>
    <w:rsid w:val="00623279"/>
    <w:pPr>
      <w:snapToGrid w:val="0"/>
    </w:pPr>
    <w:rPr>
      <w:kern w:val="0"/>
      <w:sz w:val="20"/>
    </w:rPr>
  </w:style>
  <w:style w:type="character" w:customStyle="1" w:styleId="af1">
    <w:name w:val="註腳文字 字元"/>
    <w:basedOn w:val="a1"/>
    <w:link w:val="af0"/>
    <w:uiPriority w:val="99"/>
    <w:semiHidden/>
    <w:rsid w:val="00623279"/>
    <w:rPr>
      <w:rFonts w:ascii="Times New Roman" w:eastAsia="新細明體" w:hAnsi="Times New Roman" w:cs="Times New Roman"/>
      <w:kern w:val="0"/>
      <w:sz w:val="20"/>
      <w:szCs w:val="20"/>
    </w:rPr>
  </w:style>
  <w:style w:type="character" w:styleId="af2">
    <w:name w:val="footnote reference"/>
    <w:uiPriority w:val="99"/>
    <w:semiHidden/>
    <w:rsid w:val="00623279"/>
    <w:rPr>
      <w:rFonts w:cs="Times New Roman"/>
      <w:vertAlign w:val="superscript"/>
    </w:rPr>
  </w:style>
  <w:style w:type="paragraph" w:styleId="af3">
    <w:name w:val="annotation text"/>
    <w:basedOn w:val="a"/>
    <w:link w:val="af4"/>
    <w:uiPriority w:val="99"/>
    <w:semiHidden/>
    <w:rsid w:val="00623279"/>
    <w:rPr>
      <w:kern w:val="0"/>
    </w:rPr>
  </w:style>
  <w:style w:type="character" w:customStyle="1" w:styleId="af4">
    <w:name w:val="註解文字 字元"/>
    <w:basedOn w:val="a1"/>
    <w:link w:val="af3"/>
    <w:uiPriority w:val="99"/>
    <w:semiHidden/>
    <w:rsid w:val="00623279"/>
    <w:rPr>
      <w:rFonts w:ascii="Times New Roman" w:eastAsia="新細明體" w:hAnsi="Times New Roman" w:cs="Times New Roman"/>
      <w:kern w:val="0"/>
      <w:szCs w:val="24"/>
    </w:rPr>
  </w:style>
  <w:style w:type="paragraph" w:styleId="af5">
    <w:name w:val="Balloon Text"/>
    <w:basedOn w:val="a"/>
    <w:link w:val="af6"/>
    <w:uiPriority w:val="99"/>
    <w:semiHidden/>
    <w:rsid w:val="00623279"/>
    <w:rPr>
      <w:rFonts w:ascii="Arial" w:hAnsi="Arial"/>
      <w:kern w:val="0"/>
      <w:sz w:val="18"/>
      <w:szCs w:val="18"/>
    </w:rPr>
  </w:style>
  <w:style w:type="character" w:customStyle="1" w:styleId="af6">
    <w:name w:val="註解方塊文字 字元"/>
    <w:basedOn w:val="a1"/>
    <w:link w:val="af5"/>
    <w:uiPriority w:val="99"/>
    <w:semiHidden/>
    <w:rsid w:val="00623279"/>
    <w:rPr>
      <w:rFonts w:ascii="Arial" w:eastAsia="新細明體" w:hAnsi="Arial" w:cs="Times New Roman"/>
      <w:kern w:val="0"/>
      <w:sz w:val="18"/>
      <w:szCs w:val="18"/>
    </w:rPr>
  </w:style>
  <w:style w:type="paragraph" w:styleId="af7">
    <w:name w:val="annotation subject"/>
    <w:basedOn w:val="af3"/>
    <w:next w:val="af3"/>
    <w:link w:val="af8"/>
    <w:uiPriority w:val="99"/>
    <w:semiHidden/>
    <w:rsid w:val="00623279"/>
    <w:rPr>
      <w:b/>
      <w:bCs/>
    </w:rPr>
  </w:style>
  <w:style w:type="character" w:customStyle="1" w:styleId="af8">
    <w:name w:val="註解主旨 字元"/>
    <w:basedOn w:val="af4"/>
    <w:link w:val="af7"/>
    <w:uiPriority w:val="99"/>
    <w:semiHidden/>
    <w:rsid w:val="00623279"/>
    <w:rPr>
      <w:b/>
      <w:bCs/>
    </w:rPr>
  </w:style>
  <w:style w:type="character" w:styleId="af9">
    <w:name w:val="annotation reference"/>
    <w:uiPriority w:val="99"/>
    <w:semiHidden/>
    <w:rsid w:val="00623279"/>
    <w:rPr>
      <w:rFonts w:cs="Times New Roman"/>
      <w:sz w:val="18"/>
      <w:szCs w:val="18"/>
    </w:rPr>
  </w:style>
  <w:style w:type="character" w:styleId="afa">
    <w:name w:val="Hyperlink"/>
    <w:uiPriority w:val="99"/>
    <w:rsid w:val="00623279"/>
    <w:rPr>
      <w:rFonts w:cs="Times New Roman"/>
      <w:color w:val="0000FF"/>
      <w:u w:val="single"/>
    </w:rPr>
  </w:style>
  <w:style w:type="paragraph" w:styleId="afb">
    <w:name w:val="table of figures"/>
    <w:basedOn w:val="Rank1title"/>
    <w:next w:val="Rank2title"/>
    <w:uiPriority w:val="99"/>
    <w:rsid w:val="00623279"/>
    <w:pPr>
      <w:ind w:leftChars="400" w:left="400" w:hangingChars="200" w:hanging="200"/>
    </w:pPr>
  </w:style>
  <w:style w:type="paragraph" w:customStyle="1" w:styleId="afc">
    <w:name w:val="圖樣式"/>
    <w:uiPriority w:val="99"/>
    <w:rsid w:val="00623279"/>
    <w:pPr>
      <w:ind w:leftChars="350" w:left="1666" w:hangingChars="295" w:hanging="826"/>
    </w:pPr>
  </w:style>
  <w:style w:type="character" w:customStyle="1" w:styleId="20">
    <w:name w:val="標題 2 字元"/>
    <w:aliases w:val="標題110/111 字元,節 字元,節1 字元"/>
    <w:basedOn w:val="a1"/>
    <w:link w:val="2"/>
    <w:rsid w:val="008D536F"/>
    <w:rPr>
      <w:rFonts w:ascii="標楷體" w:eastAsia="標楷體" w:hAnsi="Arial"/>
      <w:bCs/>
      <w:sz w:val="32"/>
      <w:szCs w:val="48"/>
    </w:rPr>
  </w:style>
  <w:style w:type="character" w:customStyle="1" w:styleId="30">
    <w:name w:val="標題 3 字元"/>
    <w:link w:val="3"/>
    <w:rsid w:val="008D536F"/>
    <w:rPr>
      <w:rFonts w:ascii="標楷體" w:eastAsia="標楷體" w:hAnsi="Arial"/>
      <w:bCs/>
      <w:sz w:val="32"/>
      <w:szCs w:val="36"/>
    </w:rPr>
  </w:style>
  <w:style w:type="paragraph" w:customStyle="1" w:styleId="afd">
    <w:name w:val="標題壹文字"/>
    <w:basedOn w:val="a5"/>
    <w:uiPriority w:val="99"/>
    <w:rsid w:val="00623279"/>
    <w:pPr>
      <w:spacing w:line="240" w:lineRule="atLeast"/>
      <w:ind w:firstLineChars="192" w:firstLine="538"/>
    </w:pPr>
    <w:rPr>
      <w:sz w:val="28"/>
    </w:rPr>
  </w:style>
  <w:style w:type="character" w:customStyle="1" w:styleId="40">
    <w:name w:val="標題 4 字元"/>
    <w:aliases w:val="表格 字元"/>
    <w:basedOn w:val="a1"/>
    <w:link w:val="4"/>
    <w:rsid w:val="008D536F"/>
    <w:rPr>
      <w:rFonts w:ascii="標楷體" w:eastAsia="標楷體" w:hAnsi="Arial"/>
      <w:kern w:val="2"/>
      <w:sz w:val="32"/>
      <w:szCs w:val="36"/>
    </w:rPr>
  </w:style>
  <w:style w:type="character" w:customStyle="1" w:styleId="50">
    <w:name w:val="標題 5 字元"/>
    <w:basedOn w:val="a1"/>
    <w:link w:val="5"/>
    <w:rsid w:val="008D536F"/>
    <w:rPr>
      <w:rFonts w:ascii="標楷體" w:eastAsia="標楷體" w:hAnsi="Arial"/>
      <w:bCs/>
      <w:kern w:val="2"/>
      <w:sz w:val="32"/>
      <w:szCs w:val="36"/>
    </w:rPr>
  </w:style>
  <w:style w:type="character" w:customStyle="1" w:styleId="60">
    <w:name w:val="標題 6 字元"/>
    <w:basedOn w:val="a1"/>
    <w:link w:val="6"/>
    <w:rsid w:val="008D536F"/>
    <w:rPr>
      <w:rFonts w:ascii="標楷體" w:eastAsia="標楷體" w:hAnsi="Arial"/>
      <w:kern w:val="2"/>
      <w:sz w:val="32"/>
      <w:szCs w:val="36"/>
    </w:rPr>
  </w:style>
  <w:style w:type="character" w:customStyle="1" w:styleId="70">
    <w:name w:val="標題 7 字元"/>
    <w:basedOn w:val="a1"/>
    <w:link w:val="7"/>
    <w:rsid w:val="008D536F"/>
    <w:rPr>
      <w:rFonts w:ascii="標楷體" w:eastAsia="標楷體" w:hAnsi="Arial"/>
      <w:bCs/>
      <w:kern w:val="2"/>
      <w:sz w:val="32"/>
      <w:szCs w:val="36"/>
    </w:rPr>
  </w:style>
  <w:style w:type="character" w:customStyle="1" w:styleId="80">
    <w:name w:val="標題 8 字元"/>
    <w:basedOn w:val="a1"/>
    <w:link w:val="8"/>
    <w:rsid w:val="008D536F"/>
    <w:rPr>
      <w:rFonts w:ascii="標楷體" w:eastAsia="標楷體" w:hAnsi="Arial"/>
      <w:kern w:val="2"/>
      <w:sz w:val="32"/>
      <w:szCs w:val="36"/>
    </w:rPr>
  </w:style>
  <w:style w:type="character" w:customStyle="1" w:styleId="90">
    <w:name w:val="標題 9 字元"/>
    <w:basedOn w:val="a1"/>
    <w:link w:val="9"/>
    <w:rsid w:val="008D536F"/>
    <w:rPr>
      <w:rFonts w:ascii="Arial" w:hAnsi="Arial"/>
      <w:kern w:val="2"/>
      <w:sz w:val="36"/>
    </w:rPr>
  </w:style>
  <w:style w:type="paragraph" w:styleId="a0">
    <w:name w:val="Normal Indent"/>
    <w:basedOn w:val="a"/>
    <w:uiPriority w:val="99"/>
    <w:semiHidden/>
    <w:unhideWhenUsed/>
    <w:rsid w:val="008D536F"/>
    <w:pPr>
      <w:ind w:leftChars="200" w:left="480"/>
    </w:pPr>
  </w:style>
  <w:style w:type="character" w:styleId="afe">
    <w:name w:val="Strong"/>
    <w:qFormat/>
    <w:rsid w:val="008D53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A42BB-0676-4399-B57F-0C4B4F45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0678</cp:lastModifiedBy>
  <cp:revision>5</cp:revision>
  <cp:lastPrinted>2015-06-05T09:44:00Z</cp:lastPrinted>
  <dcterms:created xsi:type="dcterms:W3CDTF">2015-06-22T08:33:00Z</dcterms:created>
  <dcterms:modified xsi:type="dcterms:W3CDTF">2015-06-22T08:45:00Z</dcterms:modified>
</cp:coreProperties>
</file>