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980" w:rsidRPr="00F2301B" w:rsidRDefault="007D22C6" w:rsidP="00FC0436">
      <w:pPr>
        <w:widowControl/>
        <w:adjustRightInd w:val="0"/>
        <w:snapToGrid w:val="0"/>
        <w:spacing w:after="120"/>
        <w:jc w:val="center"/>
        <w:rPr>
          <w:rFonts w:ascii="標楷體" w:eastAsia="標楷體" w:hAnsi="標楷體"/>
          <w:color w:val="000000"/>
          <w:sz w:val="32"/>
          <w:szCs w:val="32"/>
        </w:rPr>
      </w:pPr>
      <w:r w:rsidRPr="007D22C6">
        <w:rPr>
          <w:rFonts w:ascii="標楷體" w:eastAsia="標楷體" w:hAnsi="標楷體"/>
          <w:color w:val="000000"/>
          <w:sz w:val="32"/>
          <w:szCs w:val="32"/>
        </w:rPr>
        <w:t>證券商採網際網路等電子式交易型態交易所使用之交易主機應具備之相關受託買賣有價證券檢查點控制項目</w:t>
      </w:r>
      <w:r w:rsidR="00173937">
        <w:rPr>
          <w:rFonts w:ascii="標楷體" w:eastAsia="標楷體" w:hAnsi="標楷體" w:hint="eastAsia"/>
          <w:color w:val="000000"/>
          <w:sz w:val="32"/>
          <w:szCs w:val="32"/>
        </w:rPr>
        <w:t>第</w:t>
      </w:r>
      <w:r w:rsidR="0030525C">
        <w:rPr>
          <w:rFonts w:ascii="標楷體" w:eastAsia="標楷體" w:hAnsi="標楷體" w:hint="eastAsia"/>
          <w:color w:val="000000"/>
          <w:sz w:val="32"/>
          <w:szCs w:val="32"/>
        </w:rPr>
        <w:t>一</w:t>
      </w:r>
      <w:r w:rsidR="00173937">
        <w:rPr>
          <w:rFonts w:ascii="標楷體" w:eastAsia="標楷體" w:hAnsi="標楷體" w:hint="eastAsia"/>
          <w:color w:val="000000"/>
          <w:sz w:val="32"/>
          <w:szCs w:val="32"/>
        </w:rPr>
        <w:t>條</w:t>
      </w:r>
      <w:r w:rsidR="000B057A" w:rsidRPr="00F2301B">
        <w:rPr>
          <w:rFonts w:ascii="標楷體" w:eastAsia="標楷體" w:hAnsi="標楷體" w:hint="eastAsia"/>
          <w:color w:val="000000"/>
          <w:sz w:val="32"/>
          <w:szCs w:val="32"/>
        </w:rPr>
        <w:t>修正條文對照表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0"/>
        <w:gridCol w:w="2960"/>
        <w:gridCol w:w="2442"/>
      </w:tblGrid>
      <w:tr w:rsidR="005D545E" w:rsidRPr="002310F6" w:rsidTr="005D545E">
        <w:tc>
          <w:tcPr>
            <w:tcW w:w="2960" w:type="dxa"/>
          </w:tcPr>
          <w:p w:rsidR="005D545E" w:rsidRPr="002310F6" w:rsidRDefault="005D545E" w:rsidP="00DC7B60">
            <w:pPr>
              <w:adjustRightInd w:val="0"/>
              <w:snapToGrid w:val="0"/>
              <w:spacing w:line="300" w:lineRule="exact"/>
              <w:jc w:val="center"/>
              <w:rPr>
                <w:rFonts w:ascii="標楷體" w:eastAsia="標楷體" w:hAnsi="標楷體"/>
              </w:rPr>
            </w:pPr>
            <w:r>
              <w:rPr>
                <w:rFonts w:ascii="標楷體" w:eastAsia="標楷體" w:hAnsi="標楷體" w:hint="eastAsia"/>
              </w:rPr>
              <w:t>修正名稱</w:t>
            </w:r>
          </w:p>
        </w:tc>
        <w:tc>
          <w:tcPr>
            <w:tcW w:w="2960" w:type="dxa"/>
          </w:tcPr>
          <w:p w:rsidR="005D545E" w:rsidRPr="002310F6" w:rsidRDefault="005D545E" w:rsidP="00DC7B60">
            <w:pPr>
              <w:adjustRightInd w:val="0"/>
              <w:snapToGrid w:val="0"/>
              <w:spacing w:line="300" w:lineRule="exact"/>
              <w:jc w:val="center"/>
              <w:rPr>
                <w:rFonts w:ascii="標楷體" w:eastAsia="標楷體" w:hAnsi="標楷體"/>
              </w:rPr>
            </w:pPr>
            <w:r>
              <w:rPr>
                <w:rFonts w:ascii="標楷體" w:eastAsia="標楷體" w:hAnsi="標楷體" w:hint="eastAsia"/>
              </w:rPr>
              <w:t>現行名稱</w:t>
            </w:r>
          </w:p>
        </w:tc>
        <w:tc>
          <w:tcPr>
            <w:tcW w:w="2442" w:type="dxa"/>
          </w:tcPr>
          <w:p w:rsidR="005D545E" w:rsidRPr="002310F6" w:rsidRDefault="005D545E" w:rsidP="0035110B">
            <w:pPr>
              <w:adjustRightInd w:val="0"/>
              <w:snapToGrid w:val="0"/>
              <w:spacing w:line="300" w:lineRule="exact"/>
              <w:jc w:val="center"/>
              <w:rPr>
                <w:rFonts w:ascii="標楷體" w:eastAsia="標楷體" w:hAnsi="標楷體"/>
              </w:rPr>
            </w:pPr>
            <w:r>
              <w:rPr>
                <w:rFonts w:ascii="標楷體" w:eastAsia="標楷體" w:hAnsi="標楷體" w:hint="eastAsia"/>
              </w:rPr>
              <w:t>說明</w:t>
            </w:r>
          </w:p>
        </w:tc>
      </w:tr>
      <w:tr w:rsidR="005D545E" w:rsidRPr="002310F6" w:rsidTr="005D545E">
        <w:tc>
          <w:tcPr>
            <w:tcW w:w="2960" w:type="dxa"/>
          </w:tcPr>
          <w:p w:rsidR="005D545E" w:rsidRPr="002310F6" w:rsidRDefault="005D545E" w:rsidP="005D545E">
            <w:pPr>
              <w:adjustRightInd w:val="0"/>
              <w:snapToGrid w:val="0"/>
              <w:spacing w:line="300" w:lineRule="exact"/>
              <w:rPr>
                <w:rFonts w:ascii="標楷體" w:eastAsia="標楷體" w:hAnsi="標楷體"/>
              </w:rPr>
            </w:pPr>
            <w:r w:rsidRPr="00AF28FA">
              <w:rPr>
                <w:rFonts w:ascii="標楷體" w:eastAsia="標楷體" w:hAnsi="標楷體" w:hint="eastAsia"/>
                <w:color w:val="000000"/>
                <w:szCs w:val="24"/>
                <w:u w:val="single"/>
              </w:rPr>
              <w:t>臺灣證券交易所股份有限公司</w:t>
            </w:r>
            <w:r w:rsidRPr="005D545E">
              <w:rPr>
                <w:rFonts w:ascii="標楷體" w:eastAsia="標楷體" w:hAnsi="標楷體"/>
                <w:color w:val="000000"/>
                <w:szCs w:val="24"/>
              </w:rPr>
              <w:t>證券商採網際網路等電子式交易型態交易所使用之交易主機應具備之相關受託買賣有價證券檢查點控制項目</w:t>
            </w:r>
          </w:p>
        </w:tc>
        <w:tc>
          <w:tcPr>
            <w:tcW w:w="2960" w:type="dxa"/>
          </w:tcPr>
          <w:p w:rsidR="005D545E" w:rsidRPr="005D545E" w:rsidRDefault="005D545E" w:rsidP="005D545E">
            <w:pPr>
              <w:adjustRightInd w:val="0"/>
              <w:snapToGrid w:val="0"/>
              <w:spacing w:line="300" w:lineRule="exact"/>
              <w:rPr>
                <w:rFonts w:ascii="標楷體" w:eastAsia="標楷體" w:hAnsi="標楷體"/>
                <w:szCs w:val="24"/>
              </w:rPr>
            </w:pPr>
            <w:r w:rsidRPr="005D545E">
              <w:rPr>
                <w:rFonts w:ascii="標楷體" w:eastAsia="標楷體" w:hAnsi="標楷體"/>
                <w:color w:val="000000"/>
                <w:szCs w:val="24"/>
              </w:rPr>
              <w:t>證券商採網際網路等電子式交易型態交易所使用之交易主機應具備之相關受託買賣有價證券檢查點控制項目</w:t>
            </w:r>
          </w:p>
        </w:tc>
        <w:tc>
          <w:tcPr>
            <w:tcW w:w="2442" w:type="dxa"/>
          </w:tcPr>
          <w:p w:rsidR="005D545E" w:rsidRPr="002310F6" w:rsidRDefault="005D545E" w:rsidP="004A26F8">
            <w:pPr>
              <w:adjustRightInd w:val="0"/>
              <w:snapToGrid w:val="0"/>
              <w:spacing w:line="300" w:lineRule="exact"/>
              <w:rPr>
                <w:rFonts w:ascii="標楷體" w:eastAsia="標楷體" w:hAnsi="標楷體"/>
              </w:rPr>
            </w:pPr>
            <w:r>
              <w:rPr>
                <w:rFonts w:ascii="標楷體" w:eastAsia="標楷體" w:hAnsi="標楷體" w:hint="eastAsia"/>
              </w:rPr>
              <w:t>考量證券櫃檯買賣中心亦有本控制項目之規定，爰修正名稱冠以本公司全銜，以明確規章之權責。</w:t>
            </w:r>
          </w:p>
        </w:tc>
      </w:tr>
      <w:tr w:rsidR="004116CF" w:rsidRPr="002310F6" w:rsidTr="005D545E">
        <w:tc>
          <w:tcPr>
            <w:tcW w:w="2960" w:type="dxa"/>
          </w:tcPr>
          <w:p w:rsidR="004116CF" w:rsidRPr="002310F6" w:rsidRDefault="004116CF" w:rsidP="00DC7B60">
            <w:pPr>
              <w:adjustRightInd w:val="0"/>
              <w:snapToGrid w:val="0"/>
              <w:spacing w:line="300" w:lineRule="exact"/>
              <w:jc w:val="center"/>
              <w:rPr>
                <w:rFonts w:ascii="標楷體" w:eastAsia="標楷體" w:hAnsi="標楷體"/>
                <w:bCs/>
              </w:rPr>
            </w:pPr>
            <w:r w:rsidRPr="002310F6">
              <w:rPr>
                <w:rFonts w:ascii="標楷體" w:eastAsia="標楷體" w:hAnsi="標楷體"/>
              </w:rPr>
              <w:t>修正條文</w:t>
            </w:r>
          </w:p>
        </w:tc>
        <w:tc>
          <w:tcPr>
            <w:tcW w:w="2960" w:type="dxa"/>
          </w:tcPr>
          <w:p w:rsidR="004116CF" w:rsidRPr="002310F6" w:rsidRDefault="004116CF" w:rsidP="00DC7B60">
            <w:pPr>
              <w:adjustRightInd w:val="0"/>
              <w:snapToGrid w:val="0"/>
              <w:spacing w:line="300" w:lineRule="exact"/>
              <w:jc w:val="center"/>
              <w:rPr>
                <w:rFonts w:ascii="標楷體" w:eastAsia="標楷體" w:hAnsi="標楷體"/>
                <w:bCs/>
              </w:rPr>
            </w:pPr>
            <w:r w:rsidRPr="002310F6">
              <w:rPr>
                <w:rFonts w:ascii="標楷體" w:eastAsia="標楷體" w:hAnsi="標楷體"/>
              </w:rPr>
              <w:t>現行條文</w:t>
            </w:r>
          </w:p>
        </w:tc>
        <w:tc>
          <w:tcPr>
            <w:tcW w:w="2442" w:type="dxa"/>
          </w:tcPr>
          <w:p w:rsidR="004116CF" w:rsidRPr="002310F6" w:rsidRDefault="004116CF" w:rsidP="0035110B">
            <w:pPr>
              <w:adjustRightInd w:val="0"/>
              <w:snapToGrid w:val="0"/>
              <w:spacing w:line="300" w:lineRule="exact"/>
              <w:jc w:val="center"/>
              <w:rPr>
                <w:rFonts w:ascii="標楷體" w:eastAsia="標楷體" w:hAnsi="標楷體"/>
                <w:bCs/>
              </w:rPr>
            </w:pPr>
            <w:r w:rsidRPr="002310F6">
              <w:rPr>
                <w:rFonts w:ascii="標楷體" w:eastAsia="標楷體" w:hAnsi="標楷體"/>
              </w:rPr>
              <w:t>說明</w:t>
            </w:r>
          </w:p>
        </w:tc>
      </w:tr>
      <w:tr w:rsidR="004116CF" w:rsidRPr="002310F6" w:rsidTr="005D545E">
        <w:trPr>
          <w:trHeight w:val="8513"/>
        </w:trPr>
        <w:tc>
          <w:tcPr>
            <w:tcW w:w="2960" w:type="dxa"/>
          </w:tcPr>
          <w:p w:rsidR="0030525C"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第一條</w:t>
            </w:r>
          </w:p>
          <w:p w:rsidR="0030525C" w:rsidRPr="007D22C6"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jc w:val="both"/>
              <w:rPr>
                <w:rFonts w:ascii="標楷體" w:eastAsia="標楷體" w:hAnsi="標楷體" w:cs="細明體"/>
                <w:color w:val="000000"/>
                <w:kern w:val="0"/>
                <w:szCs w:val="24"/>
              </w:rPr>
            </w:pPr>
            <w:r w:rsidRPr="007D22C6">
              <w:rPr>
                <w:rFonts w:ascii="標楷體" w:eastAsia="標楷體" w:hAnsi="標楷體" w:cs="細明體"/>
                <w:color w:val="000000"/>
                <w:kern w:val="0"/>
                <w:szCs w:val="24"/>
              </w:rPr>
              <w:t>證券商網際網路等電子式交易型態交易主機之受託買賣檢查點控制項目，應涵蓋證券管理法令之買賣限制或禁止規定，並至少包含下列各項：</w:t>
            </w:r>
          </w:p>
          <w:p w:rsidR="0030525C"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(同右)</w:t>
            </w:r>
          </w:p>
          <w:p w:rsidR="0030525C"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p>
          <w:p w:rsidR="0030525C"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p>
          <w:p w:rsidR="0030525C"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(同右)</w:t>
            </w:r>
          </w:p>
          <w:p w:rsidR="0030525C"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p>
          <w:p w:rsidR="0030525C"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p>
          <w:p w:rsidR="0030525C"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p>
          <w:p w:rsidR="0030525C"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p>
          <w:p w:rsidR="0030525C"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p>
          <w:p w:rsidR="0030525C"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p>
          <w:p w:rsidR="0030525C"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p>
          <w:p w:rsidR="0030525C"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t>(同右)</w:t>
            </w:r>
          </w:p>
          <w:p w:rsidR="0030525C"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p>
          <w:p w:rsidR="0030525C" w:rsidRPr="007D22C6"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p>
          <w:p w:rsidR="00820D19" w:rsidRDefault="0030525C" w:rsidP="00FE22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r w:rsidRPr="007D22C6">
              <w:rPr>
                <w:rFonts w:ascii="標楷體" w:eastAsia="標楷體" w:hAnsi="標楷體" w:cs="細明體"/>
                <w:color w:val="000000"/>
                <w:kern w:val="0"/>
                <w:szCs w:val="24"/>
              </w:rPr>
              <w:t>四、</w:t>
            </w:r>
            <w:r w:rsidR="002A3ED4" w:rsidRPr="002A3ED4">
              <w:rPr>
                <w:rFonts w:ascii="標楷體" w:eastAsia="標楷體" w:hAnsi="標楷體" w:cs="細明體" w:hint="eastAsia"/>
                <w:color w:val="000000"/>
                <w:kern w:val="0"/>
                <w:szCs w:val="24"/>
                <w:u w:val="single"/>
              </w:rPr>
              <w:t>「中華民國證券商業同業公會會員辦理受託買賣業務瞭解委託人及徵信與額度管理自律規則</w:t>
            </w:r>
            <w:r w:rsidR="00AA23A0">
              <w:rPr>
                <w:rFonts w:ascii="標楷體" w:eastAsia="標楷體" w:hAnsi="標楷體" w:cs="細明體" w:hint="eastAsia"/>
                <w:color w:val="000000"/>
                <w:kern w:val="0"/>
                <w:szCs w:val="24"/>
                <w:u w:val="single"/>
              </w:rPr>
              <w:t>」</w:t>
            </w:r>
            <w:r w:rsidRPr="007D22C6">
              <w:rPr>
                <w:rFonts w:ascii="標楷體" w:eastAsia="標楷體" w:hAnsi="標楷體" w:cs="細明體"/>
                <w:color w:val="000000"/>
                <w:kern w:val="0"/>
                <w:szCs w:val="24"/>
              </w:rPr>
              <w:t>第二十</w:t>
            </w:r>
            <w:r w:rsidR="00FE2269" w:rsidRPr="00FE2269">
              <w:rPr>
                <w:rFonts w:ascii="標楷體" w:eastAsia="標楷體" w:hAnsi="標楷體" w:cs="細明體" w:hint="eastAsia"/>
                <w:color w:val="000000"/>
                <w:kern w:val="0"/>
                <w:szCs w:val="24"/>
                <w:u w:val="single"/>
              </w:rPr>
              <w:t>五</w:t>
            </w:r>
            <w:r w:rsidRPr="007D22C6">
              <w:rPr>
                <w:rFonts w:ascii="標楷體" w:eastAsia="標楷體" w:hAnsi="標楷體" w:cs="細明體"/>
                <w:color w:val="000000"/>
                <w:kern w:val="0"/>
                <w:szCs w:val="24"/>
              </w:rPr>
              <w:t>條所</w:t>
            </w:r>
            <w:r w:rsidRPr="007D22C6">
              <w:rPr>
                <w:rFonts w:ascii="標楷體" w:eastAsia="標楷體" w:hAnsi="標楷體" w:cs="細明體"/>
                <w:color w:val="000000"/>
                <w:kern w:val="0"/>
                <w:szCs w:val="24"/>
              </w:rPr>
              <w:lastRenderedPageBreak/>
              <w:t>列情事之控管。</w:t>
            </w:r>
          </w:p>
          <w:p w:rsidR="00FE2269" w:rsidRPr="00820D19" w:rsidRDefault="00FE2269" w:rsidP="00FE22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rPr>
            </w:pPr>
            <w:r>
              <w:rPr>
                <w:rFonts w:ascii="標楷體" w:eastAsia="標楷體" w:hAnsi="標楷體" w:cs="細明體" w:hint="eastAsia"/>
                <w:color w:val="000000"/>
                <w:kern w:val="0"/>
                <w:szCs w:val="24"/>
              </w:rPr>
              <w:t>(同右)</w:t>
            </w:r>
          </w:p>
        </w:tc>
        <w:tc>
          <w:tcPr>
            <w:tcW w:w="2960" w:type="dxa"/>
          </w:tcPr>
          <w:p w:rsidR="0030525C"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Chars="200" w:hanging="480"/>
              <w:jc w:val="both"/>
              <w:rPr>
                <w:rFonts w:ascii="標楷體" w:eastAsia="標楷體" w:hAnsi="標楷體" w:cs="細明體"/>
                <w:color w:val="000000"/>
                <w:kern w:val="0"/>
                <w:szCs w:val="24"/>
              </w:rPr>
            </w:pPr>
            <w:r>
              <w:rPr>
                <w:rFonts w:ascii="標楷體" w:eastAsia="標楷體" w:hAnsi="標楷體" w:cs="細明體" w:hint="eastAsia"/>
                <w:color w:val="000000"/>
                <w:kern w:val="0"/>
                <w:szCs w:val="24"/>
              </w:rPr>
              <w:lastRenderedPageBreak/>
              <w:t>第一條</w:t>
            </w:r>
          </w:p>
          <w:p w:rsidR="007D22C6" w:rsidRPr="007D22C6" w:rsidRDefault="007D22C6"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240"/>
              <w:jc w:val="both"/>
              <w:rPr>
                <w:rFonts w:ascii="標楷體" w:eastAsia="標楷體" w:hAnsi="標楷體" w:cs="細明體"/>
                <w:color w:val="000000"/>
                <w:kern w:val="0"/>
                <w:szCs w:val="24"/>
              </w:rPr>
            </w:pPr>
            <w:r w:rsidRPr="007D22C6">
              <w:rPr>
                <w:rFonts w:ascii="標楷體" w:eastAsia="標楷體" w:hAnsi="標楷體" w:cs="細明體"/>
                <w:color w:val="000000"/>
                <w:kern w:val="0"/>
                <w:szCs w:val="24"/>
              </w:rPr>
              <w:t>證券商網際網路等電子式交易型態交易主機之受託買賣檢查點控制項目，應涵蓋證券管理法令之買賣限制或禁止規定，並至少包含下列各項：</w:t>
            </w:r>
          </w:p>
          <w:p w:rsidR="007D22C6" w:rsidRPr="007D22C6" w:rsidRDefault="007D22C6"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r w:rsidRPr="007D22C6">
              <w:rPr>
                <w:rFonts w:ascii="標楷體" w:eastAsia="標楷體" w:hAnsi="標楷體" w:cs="細明體"/>
                <w:color w:val="000000"/>
                <w:kern w:val="0"/>
                <w:szCs w:val="24"/>
              </w:rPr>
              <w:t>一、委託買賣證券標的正確性及其漲跌幅限制之控管。</w:t>
            </w:r>
          </w:p>
          <w:p w:rsidR="007D22C6" w:rsidRPr="007D22C6" w:rsidRDefault="007D22C6"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r w:rsidRPr="007D22C6">
              <w:rPr>
                <w:rFonts w:ascii="標楷體" w:eastAsia="標楷體" w:hAnsi="標楷體" w:cs="細明體"/>
                <w:color w:val="000000"/>
                <w:kern w:val="0"/>
                <w:szCs w:val="24"/>
              </w:rPr>
              <w:t>二、客戶單日買賣最高額度及信用交易額度之控管，同一證券商（含總分公司）同一客戶之單日買賣最高額度及信用交易額度應予歸戶計算。</w:t>
            </w:r>
          </w:p>
          <w:p w:rsidR="007D22C6" w:rsidRPr="007D22C6" w:rsidRDefault="007D22C6"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r w:rsidRPr="007D22C6">
              <w:rPr>
                <w:rFonts w:ascii="標楷體" w:eastAsia="標楷體" w:hAnsi="標楷體" w:cs="細明體"/>
                <w:color w:val="000000"/>
                <w:kern w:val="0"/>
                <w:szCs w:val="24"/>
              </w:rPr>
              <w:t>三、受託買賣金額分層負責授權之控管，亦應予歸戶計算。</w:t>
            </w:r>
          </w:p>
          <w:p w:rsidR="00820D19" w:rsidRDefault="007D22C6"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r w:rsidRPr="007D22C6">
              <w:rPr>
                <w:rFonts w:ascii="標楷體" w:eastAsia="標楷體" w:hAnsi="標楷體" w:cs="細明體"/>
                <w:color w:val="000000"/>
                <w:kern w:val="0"/>
                <w:szCs w:val="24"/>
              </w:rPr>
              <w:t>四、公會會員受託買賣有價證券徵信與額度管理自</w:t>
            </w:r>
            <w:bookmarkStart w:id="0" w:name="_GoBack"/>
            <w:bookmarkEnd w:id="0"/>
            <w:r w:rsidRPr="007D22C6">
              <w:rPr>
                <w:rFonts w:ascii="標楷體" w:eastAsia="標楷體" w:hAnsi="標楷體" w:cs="細明體"/>
                <w:color w:val="000000"/>
                <w:kern w:val="0"/>
                <w:szCs w:val="24"/>
              </w:rPr>
              <w:t>律規則第二十三條所列情事之控管。</w:t>
            </w:r>
          </w:p>
          <w:p w:rsidR="00FE2269" w:rsidRDefault="00FE2269"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p>
          <w:p w:rsidR="00FE2269" w:rsidRDefault="00FE2269"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標楷體" w:eastAsia="標楷體" w:hAnsi="標楷體" w:cs="細明體"/>
                <w:color w:val="000000"/>
                <w:kern w:val="0"/>
                <w:szCs w:val="24"/>
              </w:rPr>
            </w:pPr>
          </w:p>
          <w:p w:rsidR="0030525C" w:rsidRPr="007D22C6" w:rsidRDefault="0030525C" w:rsidP="003052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720" w:hangingChars="200" w:hanging="480"/>
              <w:jc w:val="both"/>
              <w:rPr>
                <w:rFonts w:ascii="細明體" w:eastAsia="細明體" w:hAnsi="細明體" w:cs="細明體"/>
                <w:color w:val="333333"/>
                <w:kern w:val="0"/>
                <w:szCs w:val="24"/>
              </w:rPr>
            </w:pPr>
            <w:r>
              <w:rPr>
                <w:rFonts w:ascii="標楷體" w:eastAsia="標楷體" w:hAnsi="標楷體" w:cs="細明體" w:hint="eastAsia"/>
                <w:color w:val="000000"/>
                <w:kern w:val="0"/>
                <w:szCs w:val="24"/>
              </w:rPr>
              <w:t>(以下略)</w:t>
            </w:r>
          </w:p>
        </w:tc>
        <w:tc>
          <w:tcPr>
            <w:tcW w:w="2442" w:type="dxa"/>
          </w:tcPr>
          <w:p w:rsidR="00C00C1F" w:rsidRDefault="001D053E" w:rsidP="002052FA">
            <w:pPr>
              <w:pStyle w:val="HTML"/>
              <w:shd w:val="clear" w:color="auto" w:fill="FFFFFF"/>
              <w:jc w:val="both"/>
              <w:rPr>
                <w:rFonts w:ascii="標楷體" w:eastAsia="標楷體" w:hAnsi="標楷體"/>
                <w:color w:val="000000"/>
              </w:rPr>
            </w:pPr>
            <w:r>
              <w:rPr>
                <w:rFonts w:ascii="標楷體" w:eastAsia="標楷體" w:hAnsi="標楷體" w:hint="eastAsia"/>
                <w:color w:val="000000"/>
              </w:rPr>
              <w:lastRenderedPageBreak/>
              <w:t>配合</w:t>
            </w:r>
            <w:r w:rsidR="00FE2269">
              <w:rPr>
                <w:rFonts w:ascii="標楷體" w:eastAsia="標楷體" w:hAnsi="標楷體" w:hint="eastAsia"/>
                <w:color w:val="000000"/>
              </w:rPr>
              <w:t>券商公會</w:t>
            </w:r>
            <w:r>
              <w:rPr>
                <w:rFonts w:ascii="標楷體" w:eastAsia="標楷體" w:hAnsi="標楷體" w:hint="eastAsia"/>
                <w:color w:val="000000"/>
              </w:rPr>
              <w:t>訂定之</w:t>
            </w:r>
            <w:r w:rsidR="00AA23A0">
              <w:rPr>
                <w:rFonts w:ascii="標楷體" w:eastAsia="標楷體" w:hAnsi="標楷體" w:hint="eastAsia"/>
                <w:color w:val="000000"/>
              </w:rPr>
              <w:t>「</w:t>
            </w:r>
            <w:r w:rsidR="00AA23A0" w:rsidRPr="00AA23A0">
              <w:rPr>
                <w:rFonts w:ascii="標楷體" w:eastAsia="標楷體" w:hAnsi="標楷體"/>
              </w:rPr>
              <w:t>中華民國證券商業同業</w:t>
            </w:r>
            <w:r w:rsidR="00AA23A0">
              <w:rPr>
                <w:rFonts w:ascii="標楷體" w:eastAsia="標楷體" w:hAnsi="標楷體" w:hint="eastAsia"/>
                <w:color w:val="000000"/>
              </w:rPr>
              <w:t>公會</w:t>
            </w:r>
            <w:r w:rsidRPr="007D22C6">
              <w:rPr>
                <w:rFonts w:ascii="標楷體" w:eastAsia="標楷體" w:hAnsi="標楷體"/>
                <w:color w:val="000000"/>
              </w:rPr>
              <w:t>會員受託買賣有價證券徵信與額度管理自律規則</w:t>
            </w:r>
            <w:r w:rsidR="00AA23A0">
              <w:rPr>
                <w:rFonts w:ascii="標楷體" w:eastAsia="標楷體" w:hAnsi="標楷體" w:hint="eastAsia"/>
                <w:color w:val="000000"/>
              </w:rPr>
              <w:t>」</w:t>
            </w:r>
            <w:r>
              <w:rPr>
                <w:rFonts w:ascii="標楷體" w:eastAsia="標楷體" w:hAnsi="標楷體" w:hint="eastAsia"/>
                <w:color w:val="000000"/>
              </w:rPr>
              <w:t>業已更名</w:t>
            </w:r>
            <w:r w:rsidR="00AA23A0">
              <w:rPr>
                <w:rFonts w:ascii="標楷體" w:eastAsia="標楷體" w:hAnsi="標楷體" w:hint="eastAsia"/>
                <w:color w:val="000000"/>
              </w:rPr>
              <w:t>為「</w:t>
            </w:r>
            <w:r w:rsidR="00AA23A0" w:rsidRPr="00AF28FA">
              <w:rPr>
                <w:rFonts w:ascii="標楷體" w:eastAsia="標楷體" w:hAnsi="標楷體"/>
                <w:color w:val="000000"/>
              </w:rPr>
              <w:t>中華民國證券商業同業公會會員</w:t>
            </w:r>
            <w:r w:rsidR="002052FA">
              <w:rPr>
                <w:rFonts w:ascii="標楷體" w:eastAsia="標楷體" w:hAnsi="標楷體" w:hint="eastAsia"/>
                <w:color w:val="000000"/>
              </w:rPr>
              <w:t>辦理</w:t>
            </w:r>
            <w:r w:rsidR="00AA23A0" w:rsidRPr="00AF28FA">
              <w:rPr>
                <w:rFonts w:ascii="標楷體" w:eastAsia="標楷體" w:hAnsi="標楷體"/>
                <w:color w:val="000000"/>
              </w:rPr>
              <w:t>受託買賣</w:t>
            </w:r>
            <w:r w:rsidR="002052FA">
              <w:rPr>
                <w:rFonts w:ascii="標楷體" w:eastAsia="標楷體" w:hAnsi="標楷體" w:hint="eastAsia"/>
                <w:color w:val="000000"/>
              </w:rPr>
              <w:t>業務</w:t>
            </w:r>
            <w:r w:rsidR="00AA23A0" w:rsidRPr="00AF28FA">
              <w:rPr>
                <w:rFonts w:ascii="標楷體" w:eastAsia="標楷體" w:hAnsi="標楷體"/>
                <w:color w:val="000000"/>
              </w:rPr>
              <w:t>瞭解委託人及徵信與額度管理自律規則</w:t>
            </w:r>
            <w:r w:rsidR="00AA23A0" w:rsidRPr="00AF28FA">
              <w:rPr>
                <w:rFonts w:ascii="標楷體" w:eastAsia="標楷體" w:hAnsi="標楷體" w:hint="eastAsia"/>
                <w:color w:val="000000"/>
              </w:rPr>
              <w:t>」，</w:t>
            </w:r>
            <w:r>
              <w:rPr>
                <w:rFonts w:ascii="標楷體" w:eastAsia="標楷體" w:hAnsi="標楷體" w:hint="eastAsia"/>
                <w:color w:val="000000"/>
              </w:rPr>
              <w:t>並將</w:t>
            </w:r>
            <w:r w:rsidR="00AA23A0">
              <w:rPr>
                <w:rFonts w:ascii="標楷體" w:eastAsia="標楷體" w:hAnsi="標楷體" w:hint="eastAsia"/>
                <w:color w:val="000000"/>
              </w:rPr>
              <w:t>原</w:t>
            </w:r>
            <w:r>
              <w:rPr>
                <w:rFonts w:ascii="標楷體" w:eastAsia="標楷體" w:hAnsi="標楷體" w:hint="eastAsia"/>
                <w:color w:val="000000"/>
              </w:rPr>
              <w:t>第23條條文調整為第25條，爰修正本款規定。</w:t>
            </w:r>
          </w:p>
        </w:tc>
      </w:tr>
    </w:tbl>
    <w:p w:rsidR="004116CF" w:rsidRPr="007432A4" w:rsidRDefault="004116CF">
      <w:pPr>
        <w:rPr>
          <w:rFonts w:ascii="標楷體" w:eastAsia="標楷體" w:hAnsi="標楷體"/>
        </w:rPr>
      </w:pPr>
    </w:p>
    <w:sectPr w:rsidR="004116CF" w:rsidRPr="007432A4" w:rsidSect="006B2980">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7C1" w:rsidRDefault="007F27C1" w:rsidP="004116CF">
      <w:r>
        <w:separator/>
      </w:r>
    </w:p>
  </w:endnote>
  <w:endnote w:type="continuationSeparator" w:id="0">
    <w:p w:rsidR="007F27C1" w:rsidRDefault="007F27C1" w:rsidP="004116CF">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A00002FF" w:usb1="28CFFCFA" w:usb2="00000016" w:usb3="00000000" w:csb0="00100001" w:csb1="00000000"/>
  </w:font>
  <w:font w:name="細明體">
    <w:altName w:val="MingLiU"/>
    <w:panose1 w:val="020203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4465"/>
      <w:docPartObj>
        <w:docPartGallery w:val="Page Numbers (Bottom of Page)"/>
        <w:docPartUnique/>
      </w:docPartObj>
    </w:sdtPr>
    <w:sdtContent>
      <w:p w:rsidR="00820D19" w:rsidRDefault="001F34C4">
        <w:pPr>
          <w:pStyle w:val="a5"/>
          <w:jc w:val="center"/>
        </w:pPr>
        <w:r w:rsidRPr="001F34C4">
          <w:fldChar w:fldCharType="begin"/>
        </w:r>
        <w:r w:rsidR="007B02FF">
          <w:instrText xml:space="preserve"> PAGE   \* MERGEFORMAT </w:instrText>
        </w:r>
        <w:r w:rsidRPr="001F34C4">
          <w:fldChar w:fldCharType="separate"/>
        </w:r>
        <w:r w:rsidR="00F4717E" w:rsidRPr="00F4717E">
          <w:rPr>
            <w:noProof/>
            <w:lang w:val="zh-TW"/>
          </w:rPr>
          <w:t>1</w:t>
        </w:r>
        <w:r>
          <w:rPr>
            <w:noProof/>
            <w:lang w:val="zh-TW"/>
          </w:rPr>
          <w:fldChar w:fldCharType="end"/>
        </w:r>
      </w:p>
    </w:sdtContent>
  </w:sdt>
  <w:p w:rsidR="00820D19" w:rsidRDefault="00820D1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7C1" w:rsidRDefault="007F27C1" w:rsidP="004116CF">
      <w:r>
        <w:separator/>
      </w:r>
    </w:p>
  </w:footnote>
  <w:footnote w:type="continuationSeparator" w:id="0">
    <w:p w:rsidR="007F27C1" w:rsidRDefault="007F27C1" w:rsidP="004116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26A"/>
    <w:multiLevelType w:val="hybridMultilevel"/>
    <w:tmpl w:val="D7323A70"/>
    <w:lvl w:ilvl="0" w:tplc="6944B26E">
      <w:start w:val="1"/>
      <w:numFmt w:val="taiwaneseCountingThousand"/>
      <w:lvlText w:val="%1、"/>
      <w:lvlJc w:val="left"/>
      <w:pPr>
        <w:ind w:left="691" w:hanging="360"/>
      </w:pPr>
      <w:rPr>
        <w:rFonts w:ascii="標楷體" w:eastAsia="標楷體" w:hAnsi="標楷體" w:hint="default"/>
        <w:color w:val="000000"/>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1">
    <w:nsid w:val="164505A2"/>
    <w:multiLevelType w:val="hybridMultilevel"/>
    <w:tmpl w:val="70B67D52"/>
    <w:lvl w:ilvl="0" w:tplc="1D5240C0">
      <w:start w:val="1"/>
      <w:numFmt w:val="taiwaneseCountingThousand"/>
      <w:lvlText w:val="%1、"/>
      <w:lvlJc w:val="left"/>
      <w:pPr>
        <w:ind w:left="691" w:hanging="360"/>
      </w:pPr>
      <w:rPr>
        <w:rFonts w:hint="default"/>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abstractNum w:abstractNumId="2">
    <w:nsid w:val="609916F3"/>
    <w:multiLevelType w:val="hybridMultilevel"/>
    <w:tmpl w:val="1F8491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873F60"/>
    <w:multiLevelType w:val="hybridMultilevel"/>
    <w:tmpl w:val="476EB7C2"/>
    <w:lvl w:ilvl="0" w:tplc="5F4A1AEC">
      <w:start w:val="1"/>
      <w:numFmt w:val="taiwaneseCountingThousand"/>
      <w:lvlText w:val="%1、"/>
      <w:lvlJc w:val="left"/>
      <w:pPr>
        <w:ind w:left="691" w:hanging="360"/>
      </w:pPr>
      <w:rPr>
        <w:rFonts w:hint="default"/>
        <w:u w:val="none"/>
      </w:rPr>
    </w:lvl>
    <w:lvl w:ilvl="1" w:tplc="04090019" w:tentative="1">
      <w:start w:val="1"/>
      <w:numFmt w:val="ideographTraditional"/>
      <w:lvlText w:val="%2、"/>
      <w:lvlJc w:val="left"/>
      <w:pPr>
        <w:ind w:left="1291" w:hanging="480"/>
      </w:pPr>
    </w:lvl>
    <w:lvl w:ilvl="2" w:tplc="0409001B" w:tentative="1">
      <w:start w:val="1"/>
      <w:numFmt w:val="lowerRoman"/>
      <w:lvlText w:val="%3."/>
      <w:lvlJc w:val="right"/>
      <w:pPr>
        <w:ind w:left="1771" w:hanging="480"/>
      </w:pPr>
    </w:lvl>
    <w:lvl w:ilvl="3" w:tplc="0409000F" w:tentative="1">
      <w:start w:val="1"/>
      <w:numFmt w:val="decimal"/>
      <w:lvlText w:val="%4."/>
      <w:lvlJc w:val="left"/>
      <w:pPr>
        <w:ind w:left="2251" w:hanging="480"/>
      </w:pPr>
    </w:lvl>
    <w:lvl w:ilvl="4" w:tplc="04090019" w:tentative="1">
      <w:start w:val="1"/>
      <w:numFmt w:val="ideographTraditional"/>
      <w:lvlText w:val="%5、"/>
      <w:lvlJc w:val="left"/>
      <w:pPr>
        <w:ind w:left="2731" w:hanging="480"/>
      </w:pPr>
    </w:lvl>
    <w:lvl w:ilvl="5" w:tplc="0409001B" w:tentative="1">
      <w:start w:val="1"/>
      <w:numFmt w:val="lowerRoman"/>
      <w:lvlText w:val="%6."/>
      <w:lvlJc w:val="right"/>
      <w:pPr>
        <w:ind w:left="3211" w:hanging="480"/>
      </w:pPr>
    </w:lvl>
    <w:lvl w:ilvl="6" w:tplc="0409000F" w:tentative="1">
      <w:start w:val="1"/>
      <w:numFmt w:val="decimal"/>
      <w:lvlText w:val="%7."/>
      <w:lvlJc w:val="left"/>
      <w:pPr>
        <w:ind w:left="3691" w:hanging="480"/>
      </w:pPr>
    </w:lvl>
    <w:lvl w:ilvl="7" w:tplc="04090019" w:tentative="1">
      <w:start w:val="1"/>
      <w:numFmt w:val="ideographTraditional"/>
      <w:lvlText w:val="%8、"/>
      <w:lvlJc w:val="left"/>
      <w:pPr>
        <w:ind w:left="4171" w:hanging="480"/>
      </w:pPr>
    </w:lvl>
    <w:lvl w:ilvl="8" w:tplc="0409001B" w:tentative="1">
      <w:start w:val="1"/>
      <w:numFmt w:val="lowerRoman"/>
      <w:lvlText w:val="%9."/>
      <w:lvlJc w:val="right"/>
      <w:pPr>
        <w:ind w:left="4651" w:hanging="4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trackRevisions/>
  <w:defaultTabStop w:val="480"/>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16CF"/>
    <w:rsid w:val="00001C35"/>
    <w:rsid w:val="0000542B"/>
    <w:rsid w:val="00013D1C"/>
    <w:rsid w:val="000349F9"/>
    <w:rsid w:val="00046FC8"/>
    <w:rsid w:val="00071AC6"/>
    <w:rsid w:val="00074C1F"/>
    <w:rsid w:val="00086B51"/>
    <w:rsid w:val="000A0AF4"/>
    <w:rsid w:val="000B057A"/>
    <w:rsid w:val="000B05B5"/>
    <w:rsid w:val="000B276A"/>
    <w:rsid w:val="000B2BF7"/>
    <w:rsid w:val="000D228A"/>
    <w:rsid w:val="0011118C"/>
    <w:rsid w:val="0011262E"/>
    <w:rsid w:val="00115A6D"/>
    <w:rsid w:val="0012396C"/>
    <w:rsid w:val="001347CD"/>
    <w:rsid w:val="00145BB1"/>
    <w:rsid w:val="0016085E"/>
    <w:rsid w:val="00173937"/>
    <w:rsid w:val="00176BE2"/>
    <w:rsid w:val="001A31CE"/>
    <w:rsid w:val="001C3619"/>
    <w:rsid w:val="001D053E"/>
    <w:rsid w:val="001D55F5"/>
    <w:rsid w:val="001F34C4"/>
    <w:rsid w:val="001F6FFB"/>
    <w:rsid w:val="002052FA"/>
    <w:rsid w:val="00207072"/>
    <w:rsid w:val="00226DDF"/>
    <w:rsid w:val="002310F6"/>
    <w:rsid w:val="002423F8"/>
    <w:rsid w:val="00246459"/>
    <w:rsid w:val="002534F2"/>
    <w:rsid w:val="002574F3"/>
    <w:rsid w:val="002A3ED4"/>
    <w:rsid w:val="002B219B"/>
    <w:rsid w:val="002B7A0D"/>
    <w:rsid w:val="002C305D"/>
    <w:rsid w:val="002C6400"/>
    <w:rsid w:val="002D1ECB"/>
    <w:rsid w:val="002E17BE"/>
    <w:rsid w:val="002E6868"/>
    <w:rsid w:val="002F1A83"/>
    <w:rsid w:val="002F57A9"/>
    <w:rsid w:val="002F5E38"/>
    <w:rsid w:val="002F6D94"/>
    <w:rsid w:val="00300E9B"/>
    <w:rsid w:val="0030525C"/>
    <w:rsid w:val="00316C91"/>
    <w:rsid w:val="00343408"/>
    <w:rsid w:val="003501F3"/>
    <w:rsid w:val="0035110B"/>
    <w:rsid w:val="00372EC3"/>
    <w:rsid w:val="003730D0"/>
    <w:rsid w:val="003B345C"/>
    <w:rsid w:val="003D5DFB"/>
    <w:rsid w:val="003D7251"/>
    <w:rsid w:val="003E797A"/>
    <w:rsid w:val="003F1B6A"/>
    <w:rsid w:val="003F1ECA"/>
    <w:rsid w:val="003F77C8"/>
    <w:rsid w:val="00403C63"/>
    <w:rsid w:val="004116CF"/>
    <w:rsid w:val="0042793A"/>
    <w:rsid w:val="00433A41"/>
    <w:rsid w:val="00434285"/>
    <w:rsid w:val="00465123"/>
    <w:rsid w:val="00465FD1"/>
    <w:rsid w:val="0046658E"/>
    <w:rsid w:val="00477EC6"/>
    <w:rsid w:val="00494720"/>
    <w:rsid w:val="004A26F8"/>
    <w:rsid w:val="004B2A21"/>
    <w:rsid w:val="004C022E"/>
    <w:rsid w:val="004C2B76"/>
    <w:rsid w:val="005363D5"/>
    <w:rsid w:val="0056756D"/>
    <w:rsid w:val="00586DA6"/>
    <w:rsid w:val="005A2837"/>
    <w:rsid w:val="005B77B2"/>
    <w:rsid w:val="005D31CB"/>
    <w:rsid w:val="005D545E"/>
    <w:rsid w:val="006175FA"/>
    <w:rsid w:val="00620FEE"/>
    <w:rsid w:val="00660759"/>
    <w:rsid w:val="006763E6"/>
    <w:rsid w:val="00681B07"/>
    <w:rsid w:val="00682010"/>
    <w:rsid w:val="00686807"/>
    <w:rsid w:val="006A4F28"/>
    <w:rsid w:val="006A562A"/>
    <w:rsid w:val="006B2980"/>
    <w:rsid w:val="006B6C12"/>
    <w:rsid w:val="006D3E49"/>
    <w:rsid w:val="006D44E8"/>
    <w:rsid w:val="0070702D"/>
    <w:rsid w:val="00733EE2"/>
    <w:rsid w:val="007432A4"/>
    <w:rsid w:val="007440AB"/>
    <w:rsid w:val="0077768A"/>
    <w:rsid w:val="00782D84"/>
    <w:rsid w:val="007839AE"/>
    <w:rsid w:val="007A3E14"/>
    <w:rsid w:val="007B02FF"/>
    <w:rsid w:val="007D22C6"/>
    <w:rsid w:val="007D5F6E"/>
    <w:rsid w:val="007F27C1"/>
    <w:rsid w:val="00800751"/>
    <w:rsid w:val="00806AC3"/>
    <w:rsid w:val="00820D19"/>
    <w:rsid w:val="00825322"/>
    <w:rsid w:val="0085394A"/>
    <w:rsid w:val="00861A7C"/>
    <w:rsid w:val="00887C8F"/>
    <w:rsid w:val="008A1D71"/>
    <w:rsid w:val="008B2DAC"/>
    <w:rsid w:val="008D3117"/>
    <w:rsid w:val="008D5F71"/>
    <w:rsid w:val="008D722E"/>
    <w:rsid w:val="008E5EF5"/>
    <w:rsid w:val="008F2C75"/>
    <w:rsid w:val="00954C12"/>
    <w:rsid w:val="00982691"/>
    <w:rsid w:val="009A018F"/>
    <w:rsid w:val="009E510B"/>
    <w:rsid w:val="009F3595"/>
    <w:rsid w:val="00A3300C"/>
    <w:rsid w:val="00A361C3"/>
    <w:rsid w:val="00A5756C"/>
    <w:rsid w:val="00A90AE1"/>
    <w:rsid w:val="00AA23A0"/>
    <w:rsid w:val="00AE0BC3"/>
    <w:rsid w:val="00AE33B2"/>
    <w:rsid w:val="00AE3CD4"/>
    <w:rsid w:val="00AF28FA"/>
    <w:rsid w:val="00B46B2E"/>
    <w:rsid w:val="00B83B45"/>
    <w:rsid w:val="00B95D5C"/>
    <w:rsid w:val="00B96133"/>
    <w:rsid w:val="00BA10D4"/>
    <w:rsid w:val="00BA2F82"/>
    <w:rsid w:val="00BC57C1"/>
    <w:rsid w:val="00BD23F1"/>
    <w:rsid w:val="00BD63A2"/>
    <w:rsid w:val="00BF2C7A"/>
    <w:rsid w:val="00BF5561"/>
    <w:rsid w:val="00C00C1F"/>
    <w:rsid w:val="00C11762"/>
    <w:rsid w:val="00C1269C"/>
    <w:rsid w:val="00C457E7"/>
    <w:rsid w:val="00C4658D"/>
    <w:rsid w:val="00C51E40"/>
    <w:rsid w:val="00C52A3B"/>
    <w:rsid w:val="00C61A42"/>
    <w:rsid w:val="00C72627"/>
    <w:rsid w:val="00C72C23"/>
    <w:rsid w:val="00C8075F"/>
    <w:rsid w:val="00C80E5E"/>
    <w:rsid w:val="00CB06FB"/>
    <w:rsid w:val="00CC773D"/>
    <w:rsid w:val="00CD51B8"/>
    <w:rsid w:val="00D055BD"/>
    <w:rsid w:val="00D16DF4"/>
    <w:rsid w:val="00D213A2"/>
    <w:rsid w:val="00D422B6"/>
    <w:rsid w:val="00D42C0B"/>
    <w:rsid w:val="00D434EC"/>
    <w:rsid w:val="00D56E9F"/>
    <w:rsid w:val="00D64232"/>
    <w:rsid w:val="00D66245"/>
    <w:rsid w:val="00D70502"/>
    <w:rsid w:val="00D73201"/>
    <w:rsid w:val="00D80E6E"/>
    <w:rsid w:val="00D87883"/>
    <w:rsid w:val="00D93055"/>
    <w:rsid w:val="00DA2A13"/>
    <w:rsid w:val="00DA4EB8"/>
    <w:rsid w:val="00DC7B60"/>
    <w:rsid w:val="00DD7314"/>
    <w:rsid w:val="00DE6F17"/>
    <w:rsid w:val="00DF6B7D"/>
    <w:rsid w:val="00DF76F6"/>
    <w:rsid w:val="00DF7CA9"/>
    <w:rsid w:val="00E04F9B"/>
    <w:rsid w:val="00E177F0"/>
    <w:rsid w:val="00E41EB4"/>
    <w:rsid w:val="00E45C94"/>
    <w:rsid w:val="00E516D6"/>
    <w:rsid w:val="00EA044A"/>
    <w:rsid w:val="00EB5A6A"/>
    <w:rsid w:val="00EC7A97"/>
    <w:rsid w:val="00F0098D"/>
    <w:rsid w:val="00F15C52"/>
    <w:rsid w:val="00F21E6A"/>
    <w:rsid w:val="00F2301B"/>
    <w:rsid w:val="00F33EDA"/>
    <w:rsid w:val="00F4717E"/>
    <w:rsid w:val="00F643D3"/>
    <w:rsid w:val="00F73C0A"/>
    <w:rsid w:val="00F84A26"/>
    <w:rsid w:val="00F93BE2"/>
    <w:rsid w:val="00FA1211"/>
    <w:rsid w:val="00FC0436"/>
    <w:rsid w:val="00FD3B18"/>
    <w:rsid w:val="00FD5EC9"/>
    <w:rsid w:val="00FE1602"/>
    <w:rsid w:val="00FE2269"/>
    <w:rsid w:val="00FE25A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98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16CF"/>
    <w:pPr>
      <w:tabs>
        <w:tab w:val="center" w:pos="4153"/>
        <w:tab w:val="right" w:pos="8306"/>
      </w:tabs>
      <w:snapToGrid w:val="0"/>
    </w:pPr>
    <w:rPr>
      <w:sz w:val="20"/>
      <w:szCs w:val="20"/>
    </w:rPr>
  </w:style>
  <w:style w:type="character" w:customStyle="1" w:styleId="a4">
    <w:name w:val="頁首 字元"/>
    <w:basedOn w:val="a0"/>
    <w:link w:val="a3"/>
    <w:uiPriority w:val="99"/>
    <w:semiHidden/>
    <w:rsid w:val="004116CF"/>
    <w:rPr>
      <w:sz w:val="20"/>
      <w:szCs w:val="20"/>
    </w:rPr>
  </w:style>
  <w:style w:type="paragraph" w:styleId="a5">
    <w:name w:val="footer"/>
    <w:basedOn w:val="a"/>
    <w:link w:val="a6"/>
    <w:uiPriority w:val="99"/>
    <w:unhideWhenUsed/>
    <w:rsid w:val="004116CF"/>
    <w:pPr>
      <w:tabs>
        <w:tab w:val="center" w:pos="4153"/>
        <w:tab w:val="right" w:pos="8306"/>
      </w:tabs>
      <w:snapToGrid w:val="0"/>
    </w:pPr>
    <w:rPr>
      <w:sz w:val="20"/>
      <w:szCs w:val="20"/>
    </w:rPr>
  </w:style>
  <w:style w:type="character" w:customStyle="1" w:styleId="a6">
    <w:name w:val="頁尾 字元"/>
    <w:basedOn w:val="a0"/>
    <w:link w:val="a5"/>
    <w:uiPriority w:val="99"/>
    <w:rsid w:val="004116CF"/>
    <w:rPr>
      <w:sz w:val="20"/>
      <w:szCs w:val="20"/>
    </w:rPr>
  </w:style>
  <w:style w:type="table" w:styleId="a7">
    <w:name w:val="Table Grid"/>
    <w:basedOn w:val="a1"/>
    <w:uiPriority w:val="59"/>
    <w:rsid w:val="004116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
    <w:name w:val="HTML Preformatted"/>
    <w:basedOn w:val="a"/>
    <w:link w:val="HTML0"/>
    <w:uiPriority w:val="99"/>
    <w:unhideWhenUsed/>
    <w:rsid w:val="004116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4116CF"/>
    <w:rPr>
      <w:rFonts w:ascii="細明體" w:eastAsia="細明體" w:hAnsi="細明體" w:cs="細明體"/>
      <w:color w:val="333333"/>
      <w:kern w:val="0"/>
      <w:szCs w:val="24"/>
    </w:rPr>
  </w:style>
  <w:style w:type="paragraph" w:styleId="a8">
    <w:name w:val="List Paragraph"/>
    <w:basedOn w:val="a"/>
    <w:uiPriority w:val="34"/>
    <w:qFormat/>
    <w:rsid w:val="00086B51"/>
    <w:pPr>
      <w:ind w:leftChars="200" w:left="480"/>
    </w:pPr>
  </w:style>
  <w:style w:type="paragraph" w:styleId="a9">
    <w:name w:val="Plain Text"/>
    <w:basedOn w:val="a"/>
    <w:link w:val="aa"/>
    <w:uiPriority w:val="99"/>
    <w:unhideWhenUsed/>
    <w:rsid w:val="00071AC6"/>
    <w:rPr>
      <w:rFonts w:hAnsi="Courier New" w:cs="Courier New"/>
      <w:szCs w:val="24"/>
    </w:rPr>
  </w:style>
  <w:style w:type="character" w:customStyle="1" w:styleId="aa">
    <w:name w:val="純文字 字元"/>
    <w:basedOn w:val="a0"/>
    <w:link w:val="a9"/>
    <w:uiPriority w:val="99"/>
    <w:rsid w:val="00071AC6"/>
    <w:rPr>
      <w:rFonts w:ascii="Calibri" w:eastAsia="新細明體" w:hAnsi="Courier New" w:cs="Courier New"/>
      <w:szCs w:val="24"/>
    </w:rPr>
  </w:style>
  <w:style w:type="paragraph" w:styleId="ab">
    <w:name w:val="Balloon Text"/>
    <w:basedOn w:val="a"/>
    <w:link w:val="ac"/>
    <w:uiPriority w:val="99"/>
    <w:semiHidden/>
    <w:unhideWhenUsed/>
    <w:rsid w:val="00C80E5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C80E5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84346401">
      <w:bodyDiv w:val="1"/>
      <w:marLeft w:val="0"/>
      <w:marRight w:val="0"/>
      <w:marTop w:val="0"/>
      <w:marBottom w:val="0"/>
      <w:divBdr>
        <w:top w:val="none" w:sz="0" w:space="0" w:color="auto"/>
        <w:left w:val="none" w:sz="0" w:space="0" w:color="auto"/>
        <w:bottom w:val="none" w:sz="0" w:space="0" w:color="auto"/>
        <w:right w:val="none" w:sz="0" w:space="0" w:color="auto"/>
      </w:divBdr>
    </w:div>
    <w:div w:id="139146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Words>
  <Characters>633</Characters>
  <Application>Microsoft Office Word</Application>
  <DocSecurity>0</DocSecurity>
  <Lines>5</Lines>
  <Paragraphs>1</Paragraphs>
  <ScaleCrop>false</ScaleCrop>
  <Company>TWSE</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0675</dc:creator>
  <cp:lastModifiedBy>0425</cp:lastModifiedBy>
  <cp:revision>2</cp:revision>
  <cp:lastPrinted>2014-08-12T02:47:00Z</cp:lastPrinted>
  <dcterms:created xsi:type="dcterms:W3CDTF">2015-01-15T07:02:00Z</dcterms:created>
  <dcterms:modified xsi:type="dcterms:W3CDTF">2015-01-15T07:02:00Z</dcterms:modified>
</cp:coreProperties>
</file>