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80" w:rsidRPr="00F2301B" w:rsidRDefault="00C457E7" w:rsidP="00FC0436">
      <w:pPr>
        <w:widowControl/>
        <w:adjustRightInd w:val="0"/>
        <w:snapToGrid w:val="0"/>
        <w:spacing w:after="120"/>
        <w:jc w:val="center"/>
        <w:rPr>
          <w:rFonts w:ascii="標楷體" w:eastAsia="標楷體" w:hAnsi="標楷體"/>
          <w:color w:val="000000"/>
          <w:sz w:val="32"/>
          <w:szCs w:val="32"/>
        </w:rPr>
      </w:pPr>
      <w:r w:rsidRPr="00063765">
        <w:rPr>
          <w:rFonts w:ascii="標楷體" w:eastAsia="標楷體" w:hAnsi="標楷體"/>
          <w:color w:val="000000"/>
          <w:sz w:val="32"/>
          <w:szCs w:val="32"/>
        </w:rPr>
        <w:t>臺灣證券交易所</w:t>
      </w:r>
      <w:r w:rsidR="00173937" w:rsidRPr="00173937">
        <w:rPr>
          <w:rFonts w:ascii="標楷體" w:eastAsia="標楷體" w:hAnsi="標楷體"/>
          <w:color w:val="000000"/>
          <w:sz w:val="32"/>
          <w:szCs w:val="32"/>
        </w:rPr>
        <w:t>外國證券商分支機構突發事件處理作業程序</w:t>
      </w:r>
      <w:r w:rsidR="00462D9B">
        <w:rPr>
          <w:rFonts w:ascii="標楷體" w:eastAsia="標楷體" w:hAnsi="標楷體" w:hint="eastAsia"/>
          <w:color w:val="000000"/>
          <w:sz w:val="32"/>
          <w:szCs w:val="32"/>
        </w:rPr>
        <w:t>第三點</w:t>
      </w:r>
      <w:r w:rsidR="004D4F87">
        <w:rPr>
          <w:rFonts w:ascii="標楷體" w:eastAsia="標楷體" w:hAnsi="標楷體" w:hint="eastAsia"/>
          <w:color w:val="000000"/>
          <w:sz w:val="32"/>
          <w:szCs w:val="32"/>
        </w:rPr>
        <w:t>、第四點</w:t>
      </w:r>
      <w:r w:rsidR="000B057A" w:rsidRPr="00F2301B">
        <w:rPr>
          <w:rFonts w:ascii="標楷體" w:eastAsia="標楷體" w:hAnsi="標楷體" w:hint="eastAsia"/>
          <w:color w:val="000000"/>
          <w:sz w:val="32"/>
          <w:szCs w:val="32"/>
        </w:rPr>
        <w:t>修正條文對照表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0"/>
        <w:gridCol w:w="2960"/>
        <w:gridCol w:w="2442"/>
      </w:tblGrid>
      <w:tr w:rsidR="00230FAB" w:rsidRPr="002310F6" w:rsidTr="00BA2119">
        <w:tc>
          <w:tcPr>
            <w:tcW w:w="2960" w:type="dxa"/>
          </w:tcPr>
          <w:p w:rsidR="00230FAB" w:rsidRPr="002310F6" w:rsidRDefault="00230FAB" w:rsidP="00DC7B60">
            <w:pPr>
              <w:adjustRightInd w:val="0"/>
              <w:snapToGrid w:val="0"/>
              <w:spacing w:line="300" w:lineRule="exact"/>
              <w:jc w:val="center"/>
              <w:rPr>
                <w:rFonts w:ascii="標楷體" w:eastAsia="標楷體" w:hAnsi="標楷體"/>
              </w:rPr>
            </w:pPr>
            <w:r>
              <w:rPr>
                <w:rFonts w:ascii="標楷體" w:eastAsia="標楷體" w:hAnsi="標楷體" w:hint="eastAsia"/>
              </w:rPr>
              <w:t>修正名稱</w:t>
            </w:r>
          </w:p>
        </w:tc>
        <w:tc>
          <w:tcPr>
            <w:tcW w:w="2960" w:type="dxa"/>
          </w:tcPr>
          <w:p w:rsidR="00230FAB" w:rsidRPr="002310F6" w:rsidRDefault="00230FAB" w:rsidP="00DC7B60">
            <w:pPr>
              <w:adjustRightInd w:val="0"/>
              <w:snapToGrid w:val="0"/>
              <w:spacing w:line="300" w:lineRule="exact"/>
              <w:jc w:val="center"/>
              <w:rPr>
                <w:rFonts w:ascii="標楷體" w:eastAsia="標楷體" w:hAnsi="標楷體"/>
              </w:rPr>
            </w:pPr>
            <w:r>
              <w:rPr>
                <w:rFonts w:ascii="標楷體" w:eastAsia="標楷體" w:hAnsi="標楷體" w:hint="eastAsia"/>
              </w:rPr>
              <w:t>現行名稱</w:t>
            </w:r>
          </w:p>
        </w:tc>
        <w:tc>
          <w:tcPr>
            <w:tcW w:w="2442" w:type="dxa"/>
          </w:tcPr>
          <w:p w:rsidR="00230FAB" w:rsidRPr="002310F6" w:rsidRDefault="00230FAB" w:rsidP="0035110B">
            <w:pPr>
              <w:adjustRightInd w:val="0"/>
              <w:snapToGrid w:val="0"/>
              <w:spacing w:line="300" w:lineRule="exact"/>
              <w:jc w:val="center"/>
              <w:rPr>
                <w:rFonts w:ascii="標楷體" w:eastAsia="標楷體" w:hAnsi="標楷體"/>
              </w:rPr>
            </w:pPr>
            <w:r>
              <w:rPr>
                <w:rFonts w:ascii="標楷體" w:eastAsia="標楷體" w:hAnsi="標楷體" w:hint="eastAsia"/>
              </w:rPr>
              <w:t>說明</w:t>
            </w:r>
          </w:p>
        </w:tc>
      </w:tr>
      <w:tr w:rsidR="00230FAB" w:rsidRPr="002310F6" w:rsidTr="00BA2119">
        <w:tc>
          <w:tcPr>
            <w:tcW w:w="2960" w:type="dxa"/>
          </w:tcPr>
          <w:p w:rsidR="00230FAB" w:rsidRPr="00230FAB" w:rsidRDefault="00230FAB" w:rsidP="00230FAB">
            <w:pPr>
              <w:adjustRightInd w:val="0"/>
              <w:snapToGrid w:val="0"/>
              <w:spacing w:line="300" w:lineRule="exact"/>
              <w:rPr>
                <w:rFonts w:ascii="標楷體" w:eastAsia="標楷體" w:hAnsi="標楷體"/>
                <w:szCs w:val="24"/>
              </w:rPr>
            </w:pPr>
            <w:r w:rsidRPr="00230FAB">
              <w:rPr>
                <w:rFonts w:ascii="標楷體" w:eastAsia="標楷體" w:hAnsi="標楷體"/>
                <w:color w:val="000000"/>
                <w:szCs w:val="24"/>
              </w:rPr>
              <w:t>臺灣證券交易所</w:t>
            </w:r>
            <w:r w:rsidRPr="005A06F8">
              <w:rPr>
                <w:rFonts w:ascii="標楷體" w:eastAsia="標楷體" w:hAnsi="標楷體"/>
                <w:color w:val="000000"/>
                <w:szCs w:val="24"/>
                <w:u w:val="single"/>
              </w:rPr>
              <w:t>股份有限公司</w:t>
            </w:r>
            <w:r w:rsidRPr="00230FAB">
              <w:rPr>
                <w:rFonts w:ascii="標楷體" w:eastAsia="標楷體" w:hAnsi="標楷體"/>
                <w:color w:val="000000"/>
                <w:szCs w:val="24"/>
              </w:rPr>
              <w:t>外國證券商分支機構突發事件處理作業程序</w:t>
            </w:r>
          </w:p>
        </w:tc>
        <w:tc>
          <w:tcPr>
            <w:tcW w:w="2960" w:type="dxa"/>
          </w:tcPr>
          <w:p w:rsidR="00230FAB" w:rsidRPr="002310F6" w:rsidRDefault="00230FAB" w:rsidP="005A06F8">
            <w:pPr>
              <w:adjustRightInd w:val="0"/>
              <w:snapToGrid w:val="0"/>
              <w:spacing w:line="300" w:lineRule="exact"/>
              <w:rPr>
                <w:rFonts w:ascii="標楷體" w:eastAsia="標楷體" w:hAnsi="標楷體"/>
              </w:rPr>
            </w:pPr>
            <w:r w:rsidRPr="00230FAB">
              <w:rPr>
                <w:rFonts w:ascii="標楷體" w:eastAsia="標楷體" w:hAnsi="標楷體"/>
                <w:color w:val="000000"/>
                <w:szCs w:val="24"/>
              </w:rPr>
              <w:t>臺灣證券交易所外國證券商分支機構突發事件處理作業程序</w:t>
            </w:r>
          </w:p>
        </w:tc>
        <w:tc>
          <w:tcPr>
            <w:tcW w:w="2442" w:type="dxa"/>
          </w:tcPr>
          <w:p w:rsidR="00230FAB" w:rsidRPr="00230FAB" w:rsidRDefault="00607EB0" w:rsidP="00807BB6">
            <w:pPr>
              <w:adjustRightInd w:val="0"/>
              <w:snapToGrid w:val="0"/>
              <w:spacing w:line="300" w:lineRule="exact"/>
              <w:rPr>
                <w:rFonts w:ascii="標楷體" w:eastAsia="標楷體" w:hAnsi="標楷體"/>
              </w:rPr>
            </w:pPr>
            <w:r>
              <w:rPr>
                <w:rFonts w:ascii="標楷體" w:eastAsia="標楷體" w:hAnsi="標楷體" w:hint="eastAsia"/>
              </w:rPr>
              <w:t>為</w:t>
            </w:r>
            <w:r w:rsidR="00807BB6">
              <w:rPr>
                <w:rFonts w:ascii="標楷體" w:eastAsia="標楷體" w:hAnsi="標楷體" w:hint="eastAsia"/>
              </w:rPr>
              <w:t>維</w:t>
            </w:r>
            <w:r>
              <w:rPr>
                <w:rFonts w:ascii="標楷體" w:eastAsia="標楷體" w:hAnsi="標楷體" w:hint="eastAsia"/>
              </w:rPr>
              <w:t>規章名稱體例一致性，</w:t>
            </w:r>
            <w:r w:rsidR="00EE574F">
              <w:rPr>
                <w:rFonts w:ascii="標楷體" w:eastAsia="標楷體" w:hAnsi="標楷體" w:hint="eastAsia"/>
              </w:rPr>
              <w:t>參照本公司市場規章之全銜</w:t>
            </w:r>
            <w:r w:rsidR="005A06F8">
              <w:rPr>
                <w:rFonts w:ascii="標楷體" w:eastAsia="標楷體" w:hAnsi="標楷體" w:hint="eastAsia"/>
              </w:rPr>
              <w:t>，爰修正</w:t>
            </w:r>
            <w:r w:rsidR="00EE574F">
              <w:rPr>
                <w:rFonts w:ascii="標楷體" w:eastAsia="標楷體" w:hAnsi="標楷體" w:hint="eastAsia"/>
              </w:rPr>
              <w:t>之</w:t>
            </w:r>
            <w:r w:rsidR="005A06F8">
              <w:rPr>
                <w:rFonts w:ascii="標楷體" w:eastAsia="標楷體" w:hAnsi="標楷體" w:hint="eastAsia"/>
              </w:rPr>
              <w:t>。</w:t>
            </w:r>
          </w:p>
        </w:tc>
      </w:tr>
      <w:tr w:rsidR="004116CF" w:rsidRPr="002310F6" w:rsidTr="00BA2119">
        <w:tc>
          <w:tcPr>
            <w:tcW w:w="2960" w:type="dxa"/>
          </w:tcPr>
          <w:p w:rsidR="004116CF" w:rsidRPr="002310F6" w:rsidRDefault="004116CF" w:rsidP="00DC7B60">
            <w:pPr>
              <w:adjustRightInd w:val="0"/>
              <w:snapToGrid w:val="0"/>
              <w:spacing w:line="300" w:lineRule="exact"/>
              <w:jc w:val="center"/>
              <w:rPr>
                <w:rFonts w:ascii="標楷體" w:eastAsia="標楷體" w:hAnsi="標楷體"/>
                <w:bCs/>
              </w:rPr>
            </w:pPr>
            <w:r w:rsidRPr="002310F6">
              <w:rPr>
                <w:rFonts w:ascii="標楷體" w:eastAsia="標楷體" w:hAnsi="標楷體"/>
              </w:rPr>
              <w:t>修正條文</w:t>
            </w:r>
          </w:p>
        </w:tc>
        <w:tc>
          <w:tcPr>
            <w:tcW w:w="2960" w:type="dxa"/>
          </w:tcPr>
          <w:p w:rsidR="004116CF" w:rsidRPr="002310F6" w:rsidRDefault="004116CF" w:rsidP="00DC7B60">
            <w:pPr>
              <w:adjustRightInd w:val="0"/>
              <w:snapToGrid w:val="0"/>
              <w:spacing w:line="300" w:lineRule="exact"/>
              <w:jc w:val="center"/>
              <w:rPr>
                <w:rFonts w:ascii="標楷體" w:eastAsia="標楷體" w:hAnsi="標楷體"/>
                <w:bCs/>
              </w:rPr>
            </w:pPr>
            <w:r w:rsidRPr="002310F6">
              <w:rPr>
                <w:rFonts w:ascii="標楷體" w:eastAsia="標楷體" w:hAnsi="標楷體"/>
              </w:rPr>
              <w:t>現行條文</w:t>
            </w:r>
          </w:p>
        </w:tc>
        <w:tc>
          <w:tcPr>
            <w:tcW w:w="2442" w:type="dxa"/>
          </w:tcPr>
          <w:p w:rsidR="004116CF" w:rsidRPr="002310F6" w:rsidRDefault="004116CF" w:rsidP="0035110B">
            <w:pPr>
              <w:adjustRightInd w:val="0"/>
              <w:snapToGrid w:val="0"/>
              <w:spacing w:line="300" w:lineRule="exact"/>
              <w:jc w:val="center"/>
              <w:rPr>
                <w:rFonts w:ascii="標楷體" w:eastAsia="標楷體" w:hAnsi="標楷體"/>
                <w:bCs/>
              </w:rPr>
            </w:pPr>
            <w:r w:rsidRPr="002310F6">
              <w:rPr>
                <w:rFonts w:ascii="標楷體" w:eastAsia="標楷體" w:hAnsi="標楷體"/>
              </w:rPr>
              <w:t>說明</w:t>
            </w:r>
          </w:p>
        </w:tc>
      </w:tr>
      <w:tr w:rsidR="004116CF" w:rsidRPr="002310F6" w:rsidTr="00BA2119">
        <w:trPr>
          <w:trHeight w:val="4164"/>
        </w:trPr>
        <w:tc>
          <w:tcPr>
            <w:tcW w:w="2960" w:type="dxa"/>
          </w:tcPr>
          <w:p w:rsidR="00820D19" w:rsidRPr="00820D19" w:rsidRDefault="00173937" w:rsidP="00FE25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rPr>
            </w:pPr>
            <w:r>
              <w:rPr>
                <w:rFonts w:ascii="標楷體" w:eastAsia="標楷體" w:hAnsi="標楷體" w:hint="eastAsia"/>
              </w:rPr>
              <w:t>三、</w:t>
            </w:r>
            <w:r w:rsidR="003B345C" w:rsidRPr="00173937">
              <w:rPr>
                <w:rFonts w:ascii="標楷體" w:eastAsia="標楷體" w:hAnsi="標楷體" w:cs="細明體"/>
                <w:color w:val="000000"/>
                <w:kern w:val="0"/>
                <w:szCs w:val="24"/>
              </w:rPr>
              <w:t>前條所稱之財務危機或金融風暴發生時，本公司應於獲知消息當日，由交易部、</w:t>
            </w:r>
            <w:r w:rsidR="00FE25A8" w:rsidRPr="00FE25A8">
              <w:rPr>
                <w:rFonts w:ascii="標楷體" w:eastAsia="標楷體" w:hAnsi="標楷體" w:cs="細明體" w:hint="eastAsia"/>
                <w:color w:val="000000"/>
                <w:kern w:val="0"/>
                <w:szCs w:val="24"/>
                <w:u w:val="single"/>
              </w:rPr>
              <w:t>券商輔導部</w:t>
            </w:r>
            <w:r w:rsidR="003B345C" w:rsidRPr="00173937">
              <w:rPr>
                <w:rFonts w:ascii="標楷體" w:eastAsia="標楷體" w:hAnsi="標楷體" w:cs="細明體"/>
                <w:color w:val="000000"/>
                <w:kern w:val="0"/>
                <w:szCs w:val="24"/>
                <w:u w:val="single"/>
              </w:rPr>
              <w:t>、監視部、</w:t>
            </w:r>
            <w:r w:rsidR="00FE25A8" w:rsidRPr="00FE25A8">
              <w:rPr>
                <w:rFonts w:ascii="標楷體" w:eastAsia="標楷體" w:hAnsi="標楷體" w:cs="細明體" w:hint="eastAsia"/>
                <w:color w:val="000000"/>
                <w:kern w:val="0"/>
                <w:szCs w:val="24"/>
                <w:u w:val="single"/>
              </w:rPr>
              <w:t>市場</w:t>
            </w:r>
            <w:proofErr w:type="gramStart"/>
            <w:r w:rsidR="00FE25A8" w:rsidRPr="00FE25A8">
              <w:rPr>
                <w:rFonts w:ascii="標楷體" w:eastAsia="標楷體" w:hAnsi="標楷體" w:cs="細明體" w:hint="eastAsia"/>
                <w:color w:val="000000"/>
                <w:kern w:val="0"/>
                <w:szCs w:val="24"/>
                <w:u w:val="single"/>
              </w:rPr>
              <w:t>推廣部</w:t>
            </w:r>
            <w:r w:rsidR="003B345C" w:rsidRPr="00173937">
              <w:rPr>
                <w:rFonts w:ascii="標楷體" w:eastAsia="標楷體" w:hAnsi="標楷體" w:cs="細明體"/>
                <w:color w:val="000000"/>
                <w:kern w:val="0"/>
                <w:szCs w:val="24"/>
              </w:rPr>
              <w:t>等相關</w:t>
            </w:r>
            <w:proofErr w:type="gramEnd"/>
            <w:r w:rsidR="003B345C" w:rsidRPr="00173937">
              <w:rPr>
                <w:rFonts w:ascii="標楷體" w:eastAsia="標楷體" w:hAnsi="標楷體" w:cs="細明體"/>
                <w:color w:val="000000"/>
                <w:kern w:val="0"/>
                <w:szCs w:val="24"/>
              </w:rPr>
              <w:t>部門，並邀請主管機關及</w:t>
            </w:r>
            <w:r w:rsidR="003B345C" w:rsidRPr="00173937">
              <w:rPr>
                <w:rFonts w:ascii="標楷體" w:eastAsia="標楷體" w:hAnsi="標楷體" w:cs="細明體"/>
                <w:color w:val="000000"/>
                <w:kern w:val="0"/>
                <w:szCs w:val="24"/>
                <w:u w:val="single"/>
              </w:rPr>
              <w:t>臺灣集中保管</w:t>
            </w:r>
            <w:r w:rsidR="00FE25A8" w:rsidRPr="00FE25A8">
              <w:rPr>
                <w:rFonts w:ascii="標楷體" w:eastAsia="標楷體" w:hAnsi="標楷體" w:cs="細明體" w:hint="eastAsia"/>
                <w:color w:val="000000"/>
                <w:kern w:val="0"/>
                <w:szCs w:val="24"/>
                <w:u w:val="single"/>
              </w:rPr>
              <w:t>結算所</w:t>
            </w:r>
            <w:r w:rsidR="003B345C" w:rsidRPr="00173937">
              <w:rPr>
                <w:rFonts w:ascii="標楷體" w:eastAsia="標楷體" w:hAnsi="標楷體" w:cs="細明體"/>
                <w:color w:val="000000"/>
                <w:kern w:val="0"/>
                <w:szCs w:val="24"/>
                <w:u w:val="single"/>
              </w:rPr>
              <w:t>股份有限公司</w:t>
            </w:r>
            <w:r w:rsidR="003B345C" w:rsidRPr="00173937">
              <w:rPr>
                <w:rFonts w:ascii="標楷體" w:eastAsia="標楷體" w:hAnsi="標楷體" w:cs="細明體"/>
                <w:color w:val="000000"/>
                <w:kern w:val="0"/>
                <w:szCs w:val="24"/>
              </w:rPr>
              <w:t>，成立臨時性之危機處理中心。</w:t>
            </w:r>
          </w:p>
        </w:tc>
        <w:tc>
          <w:tcPr>
            <w:tcW w:w="2960" w:type="dxa"/>
          </w:tcPr>
          <w:p w:rsidR="00820D19" w:rsidRPr="00820D19" w:rsidRDefault="00173937" w:rsidP="0017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三、</w:t>
            </w:r>
            <w:r w:rsidRPr="00173937">
              <w:rPr>
                <w:rFonts w:ascii="標楷體" w:eastAsia="標楷體" w:hAnsi="標楷體" w:cs="細明體"/>
                <w:color w:val="000000"/>
                <w:kern w:val="0"/>
                <w:szCs w:val="24"/>
              </w:rPr>
              <w:t>前條所稱之財務危機或金融風暴發生時，本公司應於獲知消息當日，由交易部、稽核室、結算部、市場監視部、</w:t>
            </w:r>
            <w:proofErr w:type="gramStart"/>
            <w:r w:rsidRPr="00173937">
              <w:rPr>
                <w:rFonts w:ascii="標楷體" w:eastAsia="標楷體" w:hAnsi="標楷體" w:cs="細明體"/>
                <w:color w:val="000000"/>
                <w:kern w:val="0"/>
                <w:szCs w:val="24"/>
              </w:rPr>
              <w:t>國際部等相關</w:t>
            </w:r>
            <w:proofErr w:type="gramEnd"/>
            <w:r w:rsidRPr="00173937">
              <w:rPr>
                <w:rFonts w:ascii="標楷體" w:eastAsia="標楷體" w:hAnsi="標楷體" w:cs="細明體"/>
                <w:color w:val="000000"/>
                <w:kern w:val="0"/>
                <w:szCs w:val="24"/>
              </w:rPr>
              <w:t>部門，並邀請主管機關及臺灣證券集中保管股份有限公司，成立臨時性之危機處理中心。</w:t>
            </w:r>
          </w:p>
        </w:tc>
        <w:tc>
          <w:tcPr>
            <w:tcW w:w="2442" w:type="dxa"/>
          </w:tcPr>
          <w:p w:rsidR="00C00C1F" w:rsidRDefault="00FE25A8" w:rsidP="00462D9B">
            <w:pPr>
              <w:pStyle w:val="HTML"/>
              <w:jc w:val="both"/>
              <w:rPr>
                <w:rFonts w:ascii="標楷體" w:eastAsia="標楷體" w:hAnsi="標楷體"/>
                <w:color w:val="000000"/>
              </w:rPr>
            </w:pPr>
            <w:r>
              <w:rPr>
                <w:rFonts w:ascii="標楷體" w:eastAsia="標楷體" w:hAnsi="標楷體" w:hint="eastAsia"/>
                <w:color w:val="000000"/>
              </w:rPr>
              <w:t>配合本公司組織調整，及臺灣證券集中保管公司業已更名為臺灣集中保管結算所股份有限公司，爰修正本</w:t>
            </w:r>
            <w:r w:rsidR="00462D9B">
              <w:rPr>
                <w:rFonts w:ascii="標楷體" w:eastAsia="標楷體" w:hAnsi="標楷體" w:hint="eastAsia"/>
                <w:color w:val="000000"/>
              </w:rPr>
              <w:t>點規定</w:t>
            </w:r>
            <w:r>
              <w:rPr>
                <w:rFonts w:ascii="標楷體" w:eastAsia="標楷體" w:hAnsi="標楷體" w:hint="eastAsia"/>
                <w:color w:val="000000"/>
              </w:rPr>
              <w:t>。</w:t>
            </w:r>
          </w:p>
        </w:tc>
      </w:tr>
      <w:tr w:rsidR="00BA2119" w:rsidRPr="002310F6" w:rsidTr="00BA2119">
        <w:trPr>
          <w:trHeight w:val="1403"/>
        </w:trPr>
        <w:tc>
          <w:tcPr>
            <w:tcW w:w="2960" w:type="dxa"/>
          </w:tcPr>
          <w:p w:rsidR="000F7738" w:rsidRPr="00BA2119" w:rsidRDefault="000F7738" w:rsidP="000F77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kern w:val="0"/>
                <w:szCs w:val="24"/>
              </w:rPr>
            </w:pPr>
            <w:r w:rsidRPr="00BA2119">
              <w:rPr>
                <w:rFonts w:ascii="標楷體" w:eastAsia="標楷體" w:hAnsi="標楷體" w:cs="細明體"/>
                <w:color w:val="000000"/>
                <w:kern w:val="0"/>
                <w:szCs w:val="24"/>
              </w:rPr>
              <w:t>四</w:t>
            </w:r>
            <w:r>
              <w:rPr>
                <w:rFonts w:ascii="標楷體" w:eastAsia="標楷體" w:hAnsi="標楷體" w:cs="細明體" w:hint="eastAsia"/>
                <w:color w:val="000000"/>
                <w:kern w:val="0"/>
                <w:szCs w:val="24"/>
              </w:rPr>
              <w:t>、</w:t>
            </w:r>
            <w:r w:rsidRPr="00BA2119">
              <w:rPr>
                <w:rFonts w:ascii="標楷體" w:eastAsia="標楷體" w:hAnsi="標楷體" w:cs="細明體"/>
                <w:color w:val="000000"/>
                <w:kern w:val="0"/>
                <w:szCs w:val="24"/>
              </w:rPr>
              <w:t>臨時性之危機處理中心應由本公司副總經理級以上人員任召集人，並協調各相關部門，依下列步驟處理：</w:t>
            </w:r>
          </w:p>
          <w:p w:rsidR="000F7738" w:rsidRDefault="000F7738" w:rsidP="002F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r>
              <w:rPr>
                <w:rFonts w:ascii="標楷體" w:eastAsia="標楷體" w:hAnsi="標楷體" w:cs="細明體" w:hint="eastAsia"/>
                <w:kern w:val="0"/>
                <w:szCs w:val="24"/>
              </w:rPr>
              <w:t>(</w:t>
            </w:r>
            <w:proofErr w:type="gramStart"/>
            <w:r>
              <w:rPr>
                <w:rFonts w:ascii="標楷體" w:eastAsia="標楷體" w:hAnsi="標楷體" w:cs="細明體" w:hint="eastAsia"/>
                <w:kern w:val="0"/>
                <w:szCs w:val="24"/>
              </w:rPr>
              <w:t>第一項略</w:t>
            </w:r>
            <w:proofErr w:type="gramEnd"/>
            <w:r>
              <w:rPr>
                <w:rFonts w:ascii="標楷體" w:eastAsia="標楷體" w:hAnsi="標楷體" w:cs="細明體" w:hint="eastAsia"/>
                <w:kern w:val="0"/>
                <w:szCs w:val="24"/>
              </w:rPr>
              <w:t>)</w:t>
            </w:r>
          </w:p>
          <w:p w:rsidR="005408AC" w:rsidRPr="00ED3101" w:rsidRDefault="005408AC" w:rsidP="00540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r w:rsidRPr="00ED3101">
              <w:rPr>
                <w:rFonts w:ascii="標楷體" w:eastAsia="標楷體" w:hAnsi="標楷體" w:cs="細明體"/>
                <w:kern w:val="0"/>
                <w:szCs w:val="24"/>
              </w:rPr>
              <w:t xml:space="preserve">(二) </w:t>
            </w:r>
            <w:proofErr w:type="gramStart"/>
            <w:r w:rsidRPr="00ED3101">
              <w:rPr>
                <w:rFonts w:ascii="標楷體" w:eastAsia="標楷體" w:hAnsi="標楷體" w:cs="細明體"/>
                <w:kern w:val="0"/>
                <w:szCs w:val="24"/>
              </w:rPr>
              <w:t>俟</w:t>
            </w:r>
            <w:proofErr w:type="gramEnd"/>
            <w:r w:rsidRPr="00ED3101">
              <w:rPr>
                <w:rFonts w:ascii="標楷體" w:eastAsia="標楷體" w:hAnsi="標楷體" w:cs="細明體"/>
                <w:kern w:val="0"/>
                <w:szCs w:val="24"/>
              </w:rPr>
              <w:t>前開確認手續完備，本公司應依下列事項辦理：</w:t>
            </w:r>
          </w:p>
          <w:p w:rsidR="005408AC" w:rsidRPr="005408AC" w:rsidRDefault="005408AC" w:rsidP="00540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1.</w:t>
            </w:r>
            <w:r w:rsidRPr="005408AC">
              <w:rPr>
                <w:rFonts w:ascii="標楷體" w:eastAsia="標楷體" w:hAnsi="標楷體" w:cs="細明體"/>
                <w:kern w:val="0"/>
                <w:szCs w:val="24"/>
              </w:rPr>
              <w:t>立即</w:t>
            </w:r>
            <w:proofErr w:type="gramStart"/>
            <w:r w:rsidRPr="005408AC">
              <w:rPr>
                <w:rFonts w:ascii="標楷體" w:eastAsia="標楷體" w:hAnsi="標楷體" w:cs="細明體"/>
                <w:kern w:val="0"/>
                <w:szCs w:val="24"/>
              </w:rPr>
              <w:t>發函該外國</w:t>
            </w:r>
            <w:proofErr w:type="gramEnd"/>
            <w:r w:rsidRPr="005408AC">
              <w:rPr>
                <w:rFonts w:ascii="標楷體" w:eastAsia="標楷體" w:hAnsi="標楷體" w:cs="細明體"/>
                <w:kern w:val="0"/>
                <w:szCs w:val="24"/>
              </w:rPr>
              <w:t>證券商之在</w:t>
            </w:r>
            <w:proofErr w:type="gramStart"/>
            <w:r w:rsidRPr="005408AC">
              <w:rPr>
                <w:rFonts w:ascii="標楷體" w:eastAsia="標楷體" w:hAnsi="標楷體" w:cs="細明體"/>
                <w:kern w:val="0"/>
                <w:szCs w:val="24"/>
              </w:rPr>
              <w:t>臺</w:t>
            </w:r>
            <w:proofErr w:type="gramEnd"/>
            <w:r w:rsidRPr="005408AC">
              <w:rPr>
                <w:rFonts w:ascii="標楷體" w:eastAsia="標楷體" w:hAnsi="標楷體" w:cs="細明體"/>
                <w:kern w:val="0"/>
                <w:szCs w:val="24"/>
              </w:rPr>
              <w:t>分支機構，於文到二日內提供其最新財務狀況之說明，並應涵蓋其對總公司財務危機之分析，及可能遭受總公司</w:t>
            </w:r>
            <w:r w:rsidRPr="005408AC">
              <w:rPr>
                <w:rFonts w:ascii="標楷體" w:eastAsia="標楷體" w:hAnsi="標楷體" w:cs="細明體"/>
                <w:kern w:val="0"/>
                <w:szCs w:val="24"/>
              </w:rPr>
              <w:lastRenderedPageBreak/>
              <w:t>財務問題影響之預估。</w:t>
            </w:r>
          </w:p>
          <w:p w:rsidR="005408AC" w:rsidRPr="005408AC" w:rsidRDefault="005408AC" w:rsidP="00540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2.</w:t>
            </w:r>
            <w:r w:rsidRPr="005408AC">
              <w:rPr>
                <w:rFonts w:ascii="標楷體" w:eastAsia="標楷體" w:hAnsi="標楷體" w:cs="細明體"/>
                <w:kern w:val="0"/>
                <w:szCs w:val="24"/>
              </w:rPr>
              <w:t>該分支機構</w:t>
            </w:r>
            <w:proofErr w:type="gramStart"/>
            <w:r w:rsidRPr="005408AC">
              <w:rPr>
                <w:rFonts w:ascii="標楷體" w:eastAsia="標楷體" w:hAnsi="標楷體" w:cs="細明體"/>
                <w:kern w:val="0"/>
                <w:szCs w:val="24"/>
              </w:rPr>
              <w:t>依限函報</w:t>
            </w:r>
            <w:proofErr w:type="gramEnd"/>
            <w:r w:rsidRPr="005408AC">
              <w:rPr>
                <w:rFonts w:ascii="標楷體" w:eastAsia="標楷體" w:hAnsi="標楷體" w:cs="細明體"/>
                <w:kern w:val="0"/>
                <w:szCs w:val="24"/>
              </w:rPr>
              <w:t>前項資料後，本公司即依營業細則第二十五條第四項之規定，將該資料予以公開。</w:t>
            </w:r>
          </w:p>
          <w:p w:rsidR="005408AC" w:rsidRPr="005408AC" w:rsidRDefault="005408AC" w:rsidP="00540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3.</w:t>
            </w:r>
            <w:r w:rsidRPr="005408AC">
              <w:rPr>
                <w:rFonts w:ascii="標楷體" w:eastAsia="標楷體" w:hAnsi="標楷體" w:cs="細明體"/>
                <w:kern w:val="0"/>
                <w:szCs w:val="24"/>
              </w:rPr>
              <w:t>該分支機構如未依</w:t>
            </w:r>
            <w:proofErr w:type="gramStart"/>
            <w:r w:rsidRPr="005408AC">
              <w:rPr>
                <w:rFonts w:ascii="標楷體" w:eastAsia="標楷體" w:hAnsi="標楷體" w:cs="細明體"/>
                <w:kern w:val="0"/>
                <w:szCs w:val="24"/>
              </w:rPr>
              <w:t>限函報第</w:t>
            </w:r>
            <w:proofErr w:type="gramEnd"/>
            <w:r w:rsidRPr="005408AC">
              <w:rPr>
                <w:rFonts w:ascii="標楷體" w:eastAsia="標楷體" w:hAnsi="標楷體" w:cs="細明體"/>
                <w:kern w:val="0"/>
                <w:szCs w:val="24"/>
              </w:rPr>
              <w:t xml:space="preserve"> (一</w:t>
            </w:r>
            <w:r w:rsidR="00C94F6E">
              <w:rPr>
                <w:rFonts w:ascii="標楷體" w:eastAsia="標楷體" w:hAnsi="標楷體" w:cs="細明體"/>
                <w:kern w:val="0"/>
                <w:szCs w:val="24"/>
              </w:rPr>
              <w:t>)</w:t>
            </w:r>
            <w:r w:rsidRPr="005408AC">
              <w:rPr>
                <w:rFonts w:ascii="標楷體" w:eastAsia="標楷體" w:hAnsi="標楷體" w:cs="細明體"/>
                <w:kern w:val="0"/>
                <w:szCs w:val="24"/>
              </w:rPr>
              <w:t>項資料，即依</w:t>
            </w:r>
            <w:r w:rsidR="00C94F6E" w:rsidRPr="00C94F6E">
              <w:rPr>
                <w:rFonts w:ascii="標楷體" w:eastAsia="標楷體" w:hAnsi="標楷體" w:cs="細明體" w:hint="eastAsia"/>
                <w:kern w:val="0"/>
                <w:szCs w:val="24"/>
                <w:u w:val="single"/>
              </w:rPr>
              <w:t>本公司「</w:t>
            </w:r>
            <w:r w:rsidRPr="005408AC">
              <w:rPr>
                <w:rFonts w:ascii="標楷體" w:eastAsia="標楷體" w:hAnsi="標楷體" w:cs="細明體"/>
                <w:kern w:val="0"/>
                <w:szCs w:val="24"/>
              </w:rPr>
              <w:t>營業細則</w:t>
            </w:r>
            <w:r w:rsidR="00C94F6E" w:rsidRPr="00C94F6E">
              <w:rPr>
                <w:rFonts w:ascii="標楷體" w:eastAsia="標楷體" w:hAnsi="標楷體" w:cs="細明體" w:hint="eastAsia"/>
                <w:kern w:val="0"/>
                <w:szCs w:val="24"/>
                <w:u w:val="single"/>
              </w:rPr>
              <w:t>」</w:t>
            </w:r>
            <w:r w:rsidRPr="00E75A54">
              <w:rPr>
                <w:rFonts w:ascii="標楷體" w:eastAsia="標楷體" w:hAnsi="標楷體" w:cs="細明體"/>
                <w:kern w:val="0"/>
                <w:szCs w:val="24"/>
                <w:u w:val="single"/>
              </w:rPr>
              <w:t>第一</w:t>
            </w:r>
            <w:r w:rsidR="00E75A54" w:rsidRPr="00E75A54">
              <w:rPr>
                <w:rFonts w:ascii="標楷體" w:eastAsia="標楷體" w:hAnsi="標楷體" w:cs="細明體" w:hint="eastAsia"/>
                <w:kern w:val="0"/>
                <w:szCs w:val="24"/>
                <w:u w:val="single"/>
              </w:rPr>
              <w:t>百</w:t>
            </w:r>
            <w:r w:rsidRPr="00E75A54">
              <w:rPr>
                <w:rFonts w:ascii="標楷體" w:eastAsia="標楷體" w:hAnsi="標楷體" w:cs="細明體"/>
                <w:kern w:val="0"/>
                <w:szCs w:val="24"/>
                <w:u w:val="single"/>
              </w:rPr>
              <w:t>四</w:t>
            </w:r>
            <w:r w:rsidR="00E75A54" w:rsidRPr="00E75A54">
              <w:rPr>
                <w:rFonts w:ascii="標楷體" w:eastAsia="標楷體" w:hAnsi="標楷體" w:cs="細明體" w:hint="eastAsia"/>
                <w:kern w:val="0"/>
                <w:szCs w:val="24"/>
                <w:u w:val="single"/>
              </w:rPr>
              <w:t>十</w:t>
            </w:r>
            <w:r w:rsidRPr="00E75A54">
              <w:rPr>
                <w:rFonts w:ascii="標楷體" w:eastAsia="標楷體" w:hAnsi="標楷體" w:cs="細明體"/>
                <w:kern w:val="0"/>
                <w:szCs w:val="24"/>
                <w:u w:val="single"/>
              </w:rPr>
              <w:t>二條</w:t>
            </w:r>
            <w:r w:rsidRPr="005408AC">
              <w:rPr>
                <w:rFonts w:ascii="標楷體" w:eastAsia="標楷體" w:hAnsi="標楷體" w:cs="細明體"/>
                <w:kern w:val="0"/>
                <w:szCs w:val="24"/>
              </w:rPr>
              <w:t>第一項第一款及</w:t>
            </w:r>
            <w:r w:rsidR="00E75A54" w:rsidRPr="00E75A54">
              <w:rPr>
                <w:rFonts w:ascii="標楷體" w:eastAsia="標楷體" w:hAnsi="標楷體" w:cs="細明體" w:hint="eastAsia"/>
                <w:kern w:val="0"/>
                <w:szCs w:val="24"/>
                <w:u w:val="single"/>
              </w:rPr>
              <w:t>本公司</w:t>
            </w:r>
            <w:r w:rsidRPr="005408AC">
              <w:rPr>
                <w:rFonts w:ascii="標楷體" w:eastAsia="標楷體" w:hAnsi="標楷體" w:cs="細明體"/>
                <w:kern w:val="0"/>
                <w:szCs w:val="24"/>
              </w:rPr>
              <w:t>「證券商規避、拒絕檢查之認定標準及處理</w:t>
            </w:r>
            <w:r w:rsidR="00E75A54">
              <w:rPr>
                <w:rFonts w:ascii="標楷體" w:eastAsia="標楷體" w:hAnsi="標楷體" w:cs="細明體"/>
                <w:kern w:val="0"/>
                <w:szCs w:val="24"/>
              </w:rPr>
              <w:t>程序」</w:t>
            </w:r>
            <w:r w:rsidR="00E75A54" w:rsidRPr="00E75A54">
              <w:rPr>
                <w:rFonts w:ascii="標楷體" w:eastAsia="標楷體" w:hAnsi="標楷體" w:cs="細明體"/>
                <w:kern w:val="0"/>
                <w:szCs w:val="24"/>
                <w:u w:val="single"/>
              </w:rPr>
              <w:t>第</w:t>
            </w:r>
            <w:r w:rsidR="00E75A54" w:rsidRPr="00E75A54">
              <w:rPr>
                <w:rFonts w:ascii="標楷體" w:eastAsia="標楷體" w:hAnsi="標楷體" w:cs="細明體" w:hint="eastAsia"/>
                <w:kern w:val="0"/>
                <w:szCs w:val="24"/>
                <w:u w:val="single"/>
              </w:rPr>
              <w:t>四</w:t>
            </w:r>
            <w:r w:rsidRPr="00E75A54">
              <w:rPr>
                <w:rFonts w:ascii="標楷體" w:eastAsia="標楷體" w:hAnsi="標楷體" w:cs="細明體"/>
                <w:kern w:val="0"/>
                <w:szCs w:val="24"/>
                <w:u w:val="single"/>
              </w:rPr>
              <w:t>條</w:t>
            </w:r>
            <w:r w:rsidRPr="005408AC">
              <w:rPr>
                <w:rFonts w:ascii="標楷體" w:eastAsia="標楷體" w:hAnsi="標楷體" w:cs="細明體"/>
                <w:kern w:val="0"/>
                <w:szCs w:val="24"/>
              </w:rPr>
              <w:t>之規定，自次一營業日起暫停其買賣。</w:t>
            </w:r>
          </w:p>
          <w:p w:rsidR="005408AC" w:rsidRPr="00ED3101" w:rsidRDefault="005408AC" w:rsidP="00540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r w:rsidRPr="00ED3101">
              <w:rPr>
                <w:rFonts w:ascii="細明體" w:eastAsia="細明體" w:hAnsi="細明體" w:cs="細明體"/>
                <w:color w:val="333333"/>
                <w:kern w:val="0"/>
                <w:szCs w:val="24"/>
              </w:rPr>
              <w:t xml:space="preserve"> </w:t>
            </w:r>
            <w:r w:rsidRPr="00ED3101">
              <w:rPr>
                <w:rFonts w:ascii="標楷體" w:eastAsia="標楷體" w:hAnsi="標楷體" w:cs="細明體"/>
                <w:kern w:val="0"/>
                <w:szCs w:val="24"/>
              </w:rPr>
              <w:t>(三</w:t>
            </w:r>
            <w:r>
              <w:rPr>
                <w:rFonts w:ascii="標楷體" w:eastAsia="標楷體" w:hAnsi="標楷體" w:cs="細明體"/>
                <w:kern w:val="0"/>
                <w:szCs w:val="24"/>
              </w:rPr>
              <w:t>)</w:t>
            </w:r>
            <w:r w:rsidRPr="00ED3101">
              <w:rPr>
                <w:rFonts w:ascii="標楷體" w:eastAsia="標楷體" w:hAnsi="標楷體" w:cs="細明體"/>
                <w:kern w:val="0"/>
                <w:szCs w:val="24"/>
              </w:rPr>
              <w:t>倘國外之金融風暴，業導致該外國證券商之總公司一部</w:t>
            </w:r>
            <w:r w:rsidR="00480733" w:rsidRPr="00480733">
              <w:rPr>
                <w:rFonts w:ascii="標楷體" w:eastAsia="標楷體" w:hAnsi="標楷體" w:cs="細明體" w:hint="eastAsia"/>
                <w:kern w:val="0"/>
                <w:szCs w:val="24"/>
                <w:u w:val="single"/>
              </w:rPr>
              <w:t>分</w:t>
            </w:r>
            <w:r w:rsidRPr="00ED3101">
              <w:rPr>
                <w:rFonts w:ascii="標楷體" w:eastAsia="標楷體" w:hAnsi="標楷體" w:cs="細明體"/>
                <w:kern w:val="0"/>
                <w:szCs w:val="24"/>
              </w:rPr>
              <w:t>停業，本公司應辦事項如下：</w:t>
            </w:r>
          </w:p>
          <w:p w:rsidR="005408AC" w:rsidRPr="00ED3101" w:rsidRDefault="00875F24" w:rsidP="00540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1.</w:t>
            </w:r>
            <w:r w:rsidR="005408AC" w:rsidRPr="00ED3101">
              <w:rPr>
                <w:rFonts w:ascii="標楷體" w:eastAsia="標楷體" w:hAnsi="標楷體" w:cs="細明體"/>
                <w:kern w:val="0"/>
                <w:szCs w:val="24"/>
              </w:rPr>
              <w:t>知悉事實之當日或次一營業日，立即依</w:t>
            </w:r>
            <w:r w:rsidR="00A17426" w:rsidRPr="00A17426">
              <w:rPr>
                <w:rFonts w:ascii="標楷體" w:eastAsia="標楷體" w:hAnsi="標楷體" w:cs="細明體" w:hint="eastAsia"/>
                <w:kern w:val="0"/>
                <w:szCs w:val="24"/>
                <w:u w:val="single"/>
              </w:rPr>
              <w:t>本公司</w:t>
            </w:r>
            <w:r w:rsidR="005408AC" w:rsidRPr="00A17426">
              <w:rPr>
                <w:rFonts w:ascii="標楷體" w:eastAsia="標楷體" w:hAnsi="標楷體" w:cs="細明體"/>
                <w:kern w:val="0"/>
                <w:szCs w:val="24"/>
                <w:u w:val="single"/>
              </w:rPr>
              <w:t>「證券商專案檢查與輔導辦法」</w:t>
            </w:r>
            <w:r w:rsidR="005408AC" w:rsidRPr="00ED3101">
              <w:rPr>
                <w:rFonts w:ascii="標楷體" w:eastAsia="標楷體" w:hAnsi="標楷體" w:cs="細明體"/>
                <w:kern w:val="0"/>
                <w:szCs w:val="24"/>
              </w:rPr>
              <w:t>之規定，派員赴其在</w:t>
            </w:r>
            <w:proofErr w:type="gramStart"/>
            <w:r w:rsidR="005408AC" w:rsidRPr="00ED3101">
              <w:rPr>
                <w:rFonts w:ascii="標楷體" w:eastAsia="標楷體" w:hAnsi="標楷體" w:cs="細明體"/>
                <w:kern w:val="0"/>
                <w:szCs w:val="24"/>
              </w:rPr>
              <w:t>臺</w:t>
            </w:r>
            <w:proofErr w:type="gramEnd"/>
            <w:r w:rsidR="005408AC" w:rsidRPr="00ED3101">
              <w:rPr>
                <w:rFonts w:ascii="標楷體" w:eastAsia="標楷體" w:hAnsi="標楷體" w:cs="細明體"/>
                <w:kern w:val="0"/>
                <w:szCs w:val="24"/>
              </w:rPr>
              <w:t>分支機構進行財務檢查；同時</w:t>
            </w:r>
            <w:proofErr w:type="gramStart"/>
            <w:r w:rsidR="005408AC" w:rsidRPr="00ED3101">
              <w:rPr>
                <w:rFonts w:ascii="標楷體" w:eastAsia="標楷體" w:hAnsi="標楷體" w:cs="細明體"/>
                <w:kern w:val="0"/>
                <w:szCs w:val="24"/>
              </w:rPr>
              <w:t>利用線</w:t>
            </w:r>
            <w:r w:rsidR="005408AC" w:rsidRPr="00ED3101">
              <w:rPr>
                <w:rFonts w:ascii="標楷體" w:eastAsia="標楷體" w:hAnsi="標楷體" w:cs="細明體"/>
                <w:kern w:val="0"/>
                <w:szCs w:val="24"/>
              </w:rPr>
              <w:lastRenderedPageBreak/>
              <w:t>上監視</w:t>
            </w:r>
            <w:proofErr w:type="gramEnd"/>
            <w:r w:rsidR="005408AC" w:rsidRPr="00ED3101">
              <w:rPr>
                <w:rFonts w:ascii="標楷體" w:eastAsia="標楷體" w:hAnsi="標楷體" w:cs="細明體"/>
                <w:kern w:val="0"/>
                <w:szCs w:val="24"/>
              </w:rPr>
              <w:t>系統，管控該分支機構進出有價證券之種類及數量，並確認該分支</w:t>
            </w:r>
            <w:proofErr w:type="gramStart"/>
            <w:r w:rsidR="005408AC" w:rsidRPr="00ED3101">
              <w:rPr>
                <w:rFonts w:ascii="標楷體" w:eastAsia="標楷體" w:hAnsi="標楷體" w:cs="細明體"/>
                <w:kern w:val="0"/>
                <w:szCs w:val="24"/>
              </w:rPr>
              <w:t>機構確依</w:t>
            </w:r>
            <w:proofErr w:type="gramEnd"/>
            <w:r w:rsidR="005408AC" w:rsidRPr="00ED3101">
              <w:rPr>
                <w:rFonts w:ascii="標楷體" w:eastAsia="標楷體" w:hAnsi="標楷體" w:cs="細明體"/>
                <w:kern w:val="0"/>
                <w:szCs w:val="24"/>
              </w:rPr>
              <w:t>「證券商管理</w:t>
            </w:r>
            <w:r w:rsidR="000D3BF9">
              <w:rPr>
                <w:rFonts w:ascii="標楷體" w:eastAsia="標楷體" w:hAnsi="標楷體" w:cs="細明體"/>
                <w:kern w:val="0"/>
                <w:szCs w:val="24"/>
              </w:rPr>
              <w:t>規則」</w:t>
            </w:r>
            <w:r w:rsidR="000D3BF9" w:rsidRPr="000D3BF9">
              <w:rPr>
                <w:rFonts w:ascii="標楷體" w:eastAsia="標楷體" w:hAnsi="標楷體" w:cs="細明體"/>
                <w:kern w:val="0"/>
                <w:szCs w:val="24"/>
                <w:u w:val="single"/>
              </w:rPr>
              <w:t>第</w:t>
            </w:r>
            <w:r w:rsidR="005408AC" w:rsidRPr="000D3BF9">
              <w:rPr>
                <w:rFonts w:ascii="標楷體" w:eastAsia="標楷體" w:hAnsi="標楷體" w:cs="細明體"/>
                <w:kern w:val="0"/>
                <w:szCs w:val="24"/>
                <w:u w:val="single"/>
              </w:rPr>
              <w:t>三十八條</w:t>
            </w:r>
            <w:r w:rsidR="000D3BF9" w:rsidRPr="000D3BF9">
              <w:rPr>
                <w:rFonts w:ascii="標楷體" w:eastAsia="標楷體" w:hAnsi="標楷體" w:cs="細明體" w:hint="eastAsia"/>
                <w:kern w:val="0"/>
                <w:szCs w:val="24"/>
                <w:u w:val="single"/>
              </w:rPr>
              <w:t>、第三十九條</w:t>
            </w:r>
            <w:r w:rsidR="005408AC" w:rsidRPr="00ED3101">
              <w:rPr>
                <w:rFonts w:ascii="標楷體" w:eastAsia="標楷體" w:hAnsi="標楷體" w:cs="細明體"/>
                <w:kern w:val="0"/>
                <w:szCs w:val="24"/>
              </w:rPr>
              <w:t>之規定辦理</w:t>
            </w:r>
            <w:proofErr w:type="gramStart"/>
            <w:r w:rsidR="005408AC" w:rsidRPr="00ED3101">
              <w:rPr>
                <w:rFonts w:ascii="標楷體" w:eastAsia="標楷體" w:hAnsi="標楷體" w:cs="細明體"/>
                <w:kern w:val="0"/>
                <w:szCs w:val="24"/>
              </w:rPr>
              <w:t>而無流用</w:t>
            </w:r>
            <w:proofErr w:type="gramEnd"/>
            <w:r w:rsidR="005408AC" w:rsidRPr="00ED3101">
              <w:rPr>
                <w:rFonts w:ascii="標楷體" w:eastAsia="標楷體" w:hAnsi="標楷體" w:cs="細明體"/>
                <w:kern w:val="0"/>
                <w:szCs w:val="24"/>
              </w:rPr>
              <w:t>資金情事，以確保客戶權益。</w:t>
            </w:r>
          </w:p>
          <w:p w:rsidR="00A50B9F" w:rsidRPr="005408AC" w:rsidRDefault="00875F24" w:rsidP="00C94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2.</w:t>
            </w:r>
            <w:proofErr w:type="gramStart"/>
            <w:r w:rsidR="005408AC" w:rsidRPr="00ED3101">
              <w:rPr>
                <w:rFonts w:ascii="標楷體" w:eastAsia="標楷體" w:hAnsi="標楷體" w:cs="細明體"/>
                <w:kern w:val="0"/>
                <w:szCs w:val="24"/>
              </w:rPr>
              <w:t>前項線上監視</w:t>
            </w:r>
            <w:proofErr w:type="gramEnd"/>
            <w:r w:rsidR="005408AC" w:rsidRPr="00ED3101">
              <w:rPr>
                <w:rFonts w:ascii="標楷體" w:eastAsia="標楷體" w:hAnsi="標楷體" w:cs="細明體"/>
                <w:kern w:val="0"/>
                <w:szCs w:val="24"/>
              </w:rPr>
              <w:t>之</w:t>
            </w:r>
            <w:proofErr w:type="gramStart"/>
            <w:r w:rsidR="005408AC" w:rsidRPr="00ED3101">
              <w:rPr>
                <w:rFonts w:ascii="標楷體" w:eastAsia="標楷體" w:hAnsi="標楷體" w:cs="細明體"/>
                <w:kern w:val="0"/>
                <w:szCs w:val="24"/>
              </w:rPr>
              <w:t>期間，</w:t>
            </w:r>
            <w:proofErr w:type="gramEnd"/>
            <w:r w:rsidR="005408AC" w:rsidRPr="00ED3101">
              <w:rPr>
                <w:rFonts w:ascii="標楷體" w:eastAsia="標楷體" w:hAnsi="標楷體" w:cs="細明體"/>
                <w:kern w:val="0"/>
                <w:szCs w:val="24"/>
              </w:rPr>
              <w:t>除主管機關另有指示外，應至少持續至危機處理中心同意對本國市場安全無虞為止。</w:t>
            </w:r>
          </w:p>
          <w:p w:rsidR="00432250" w:rsidRDefault="00432250" w:rsidP="002F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p>
          <w:p w:rsidR="000F7738" w:rsidRPr="00BA2119" w:rsidRDefault="000F7738" w:rsidP="002F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r w:rsidRPr="00BA2119">
              <w:rPr>
                <w:rFonts w:ascii="標楷體" w:eastAsia="標楷體" w:hAnsi="標楷體" w:cs="細明體"/>
                <w:kern w:val="0"/>
                <w:szCs w:val="24"/>
              </w:rPr>
              <w:t>(四) 倘國外之金融風暴，業導致該外國證券商之總公司全部停業，本公司除依上開一部</w:t>
            </w:r>
            <w:r w:rsidR="00A50B9F" w:rsidRPr="00A50B9F">
              <w:rPr>
                <w:rFonts w:ascii="標楷體" w:eastAsia="標楷體" w:hAnsi="標楷體" w:cs="細明體" w:hint="eastAsia"/>
                <w:kern w:val="0"/>
                <w:szCs w:val="24"/>
                <w:u w:val="single"/>
              </w:rPr>
              <w:t>分</w:t>
            </w:r>
            <w:r w:rsidRPr="00BA2119">
              <w:rPr>
                <w:rFonts w:ascii="標楷體" w:eastAsia="標楷體" w:hAnsi="標楷體" w:cs="細明體"/>
                <w:kern w:val="0"/>
                <w:szCs w:val="24"/>
              </w:rPr>
              <w:t>停業之事項辦理外，其</w:t>
            </w:r>
            <w:r w:rsidR="001A1440" w:rsidRPr="001A1440">
              <w:rPr>
                <w:rFonts w:ascii="標楷體" w:eastAsia="標楷體" w:hAnsi="標楷體" w:cs="細明體" w:hint="eastAsia"/>
                <w:kern w:val="0"/>
                <w:szCs w:val="24"/>
                <w:u w:val="single"/>
              </w:rPr>
              <w:t>他</w:t>
            </w:r>
            <w:r w:rsidRPr="00BA2119">
              <w:rPr>
                <w:rFonts w:ascii="標楷體" w:eastAsia="標楷體" w:hAnsi="標楷體" w:cs="細明體"/>
                <w:kern w:val="0"/>
                <w:szCs w:val="24"/>
              </w:rPr>
              <w:t>應辦事項如下：</w:t>
            </w:r>
          </w:p>
          <w:p w:rsidR="000F7738" w:rsidRPr="00BA2119" w:rsidRDefault="000F7738" w:rsidP="0095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1.</w:t>
            </w:r>
            <w:r w:rsidRPr="00BA2119">
              <w:rPr>
                <w:rFonts w:ascii="標楷體" w:eastAsia="標楷體" w:hAnsi="標楷體" w:cs="細明體"/>
                <w:kern w:val="0"/>
                <w:szCs w:val="24"/>
              </w:rPr>
              <w:t>知悉事實之當日或次一營業日，通知其在</w:t>
            </w:r>
            <w:proofErr w:type="gramStart"/>
            <w:r w:rsidRPr="00BA2119">
              <w:rPr>
                <w:rFonts w:ascii="標楷體" w:eastAsia="標楷體" w:hAnsi="標楷體" w:cs="細明體"/>
                <w:kern w:val="0"/>
                <w:szCs w:val="24"/>
              </w:rPr>
              <w:t>臺</w:t>
            </w:r>
            <w:proofErr w:type="gramEnd"/>
            <w:r w:rsidRPr="00BA2119">
              <w:rPr>
                <w:rFonts w:ascii="標楷體" w:eastAsia="標楷體" w:hAnsi="標楷體" w:cs="細明體"/>
                <w:kern w:val="0"/>
                <w:szCs w:val="24"/>
              </w:rPr>
              <w:t>分支機構之負責人，於二十四小時內攜相關財務資料，向危機處理中心說明其與外國總公司間之財務防火牆關</w:t>
            </w:r>
            <w:r w:rsidRPr="00BA2119">
              <w:rPr>
                <w:rFonts w:ascii="標楷體" w:eastAsia="標楷體" w:hAnsi="標楷體" w:cs="細明體"/>
                <w:kern w:val="0"/>
                <w:szCs w:val="24"/>
              </w:rPr>
              <w:lastRenderedPageBreak/>
              <w:t>係。</w:t>
            </w:r>
          </w:p>
          <w:p w:rsidR="000F7738" w:rsidRPr="00BA2119" w:rsidRDefault="000F7738" w:rsidP="0095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2.</w:t>
            </w:r>
            <w:r w:rsidRPr="00BA2119">
              <w:rPr>
                <w:rFonts w:ascii="標楷體" w:eastAsia="標楷體" w:hAnsi="標楷體" w:cs="細明體"/>
                <w:kern w:val="0"/>
                <w:szCs w:val="24"/>
              </w:rPr>
              <w:t>自通知之次一營業日起，依據</w:t>
            </w:r>
            <w:r w:rsidR="005F3E61" w:rsidRPr="005F3E61">
              <w:rPr>
                <w:rFonts w:ascii="標楷體" w:eastAsia="標楷體" w:hAnsi="標楷體" w:cs="細明體" w:hint="eastAsia"/>
                <w:kern w:val="0"/>
                <w:szCs w:val="24"/>
                <w:u w:val="single"/>
              </w:rPr>
              <w:t>本公司</w:t>
            </w:r>
            <w:r w:rsidR="005F3E61" w:rsidRPr="005F3E61">
              <w:rPr>
                <w:rFonts w:ascii="標楷體" w:eastAsia="標楷體" w:hAnsi="標楷體" w:cs="細明體"/>
                <w:kern w:val="0"/>
                <w:szCs w:val="24"/>
                <w:u w:val="single"/>
              </w:rPr>
              <w:t>「</w:t>
            </w:r>
            <w:r w:rsidRPr="005F3E61">
              <w:rPr>
                <w:rFonts w:ascii="標楷體" w:eastAsia="標楷體" w:hAnsi="標楷體" w:cs="細明體"/>
                <w:kern w:val="0"/>
                <w:szCs w:val="24"/>
                <w:u w:val="single"/>
              </w:rPr>
              <w:t>證券商專案檢查與輔導辦法」</w:t>
            </w:r>
            <w:r w:rsidRPr="00BA2119">
              <w:rPr>
                <w:rFonts w:ascii="標楷體" w:eastAsia="標楷體" w:hAnsi="標楷體" w:cs="細明體"/>
                <w:kern w:val="0"/>
                <w:szCs w:val="24"/>
              </w:rPr>
              <w:t>第八條規定，調降其可動用資金淨額之倍數，使其受託或自行買賣金額不得逾越「證券商設置標準」</w:t>
            </w:r>
            <w:proofErr w:type="gramStart"/>
            <w:r w:rsidRPr="00BA2119">
              <w:rPr>
                <w:rFonts w:ascii="標楷體" w:eastAsia="標楷體" w:hAnsi="標楷體" w:cs="細明體"/>
                <w:kern w:val="0"/>
                <w:szCs w:val="24"/>
              </w:rPr>
              <w:t>第二十九條專撥</w:t>
            </w:r>
            <w:proofErr w:type="gramEnd"/>
            <w:r w:rsidRPr="00BA2119">
              <w:rPr>
                <w:rFonts w:ascii="標楷體" w:eastAsia="標楷體" w:hAnsi="標楷體" w:cs="細明體"/>
                <w:kern w:val="0"/>
                <w:szCs w:val="24"/>
              </w:rPr>
              <w:t>在中</w:t>
            </w:r>
            <w:r w:rsidR="008E79A9" w:rsidRPr="008E79A9">
              <w:rPr>
                <w:rFonts w:ascii="標楷體" w:eastAsia="標楷體" w:hAnsi="標楷體" w:cs="細明體" w:hint="eastAsia"/>
                <w:kern w:val="0"/>
                <w:szCs w:val="24"/>
                <w:u w:val="single"/>
              </w:rPr>
              <w:t>華</w:t>
            </w:r>
            <w:r w:rsidRPr="00BA2119">
              <w:rPr>
                <w:rFonts w:ascii="標楷體" w:eastAsia="標楷體" w:hAnsi="標楷體" w:cs="細明體"/>
                <w:kern w:val="0"/>
                <w:szCs w:val="24"/>
              </w:rPr>
              <w:t>民國境內營業用之資金。</w:t>
            </w:r>
          </w:p>
          <w:p w:rsidR="000F7738" w:rsidRPr="00BA2119" w:rsidRDefault="000F7738" w:rsidP="0095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3.</w:t>
            </w:r>
            <w:r w:rsidRPr="00BA2119">
              <w:rPr>
                <w:rFonts w:ascii="標楷體" w:eastAsia="標楷體" w:hAnsi="標楷體" w:cs="細明體"/>
                <w:kern w:val="0"/>
                <w:szCs w:val="24"/>
              </w:rPr>
              <w:t>前開限制非由外國證券商在</w:t>
            </w:r>
            <w:proofErr w:type="gramStart"/>
            <w:r w:rsidRPr="00BA2119">
              <w:rPr>
                <w:rFonts w:ascii="標楷體" w:eastAsia="標楷體" w:hAnsi="標楷體" w:cs="細明體"/>
                <w:kern w:val="0"/>
                <w:szCs w:val="24"/>
              </w:rPr>
              <w:t>臺</w:t>
            </w:r>
            <w:proofErr w:type="gramEnd"/>
            <w:r w:rsidRPr="00BA2119">
              <w:rPr>
                <w:rFonts w:ascii="標楷體" w:eastAsia="標楷體" w:hAnsi="標楷體" w:cs="細明體"/>
                <w:kern w:val="0"/>
                <w:szCs w:val="24"/>
              </w:rPr>
              <w:t>分支機構提出申請，並經危機處理中心同意或  主管機關指示前，不得取</w:t>
            </w:r>
            <w:r w:rsidR="008E79A9" w:rsidRPr="008E79A9">
              <w:rPr>
                <w:rFonts w:ascii="標楷體" w:eastAsia="標楷體" w:hAnsi="標楷體" w:cs="細明體" w:hint="eastAsia"/>
                <w:kern w:val="0"/>
                <w:szCs w:val="24"/>
                <w:u w:val="single"/>
              </w:rPr>
              <w:t>消</w:t>
            </w:r>
            <w:r w:rsidRPr="00BA2119">
              <w:rPr>
                <w:rFonts w:ascii="標楷體" w:eastAsia="標楷體" w:hAnsi="標楷體" w:cs="細明體"/>
                <w:kern w:val="0"/>
                <w:szCs w:val="24"/>
              </w:rPr>
              <w:t>。</w:t>
            </w:r>
          </w:p>
          <w:p w:rsidR="00A50B9F" w:rsidRDefault="00A50B9F" w:rsidP="002F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p>
          <w:p w:rsidR="00A50B9F" w:rsidRDefault="00A50B9F" w:rsidP="002F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p>
          <w:p w:rsidR="00A50B9F" w:rsidRDefault="00A50B9F" w:rsidP="001B2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p>
          <w:p w:rsidR="00432250" w:rsidRDefault="00432250" w:rsidP="001B2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p>
          <w:p w:rsidR="000F7738" w:rsidRPr="000F7738" w:rsidRDefault="000F7738" w:rsidP="002F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r w:rsidRPr="000F7738">
              <w:rPr>
                <w:rFonts w:ascii="標楷體" w:eastAsia="標楷體" w:hAnsi="標楷體" w:cs="細明體"/>
                <w:kern w:val="0"/>
                <w:szCs w:val="24"/>
              </w:rPr>
              <w:t>(五) 倘國外之金融風暴，業導致該外國證券商之總公司在其本國已受破產之宣告，本公司應辦事項如下：</w:t>
            </w:r>
          </w:p>
          <w:p w:rsidR="000F7738" w:rsidRPr="000F7738" w:rsidRDefault="000F7738" w:rsidP="0095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1.</w:t>
            </w:r>
            <w:r w:rsidRPr="000F7738">
              <w:rPr>
                <w:rFonts w:ascii="標楷體" w:eastAsia="標楷體" w:hAnsi="標楷體" w:cs="細明體"/>
                <w:kern w:val="0"/>
                <w:szCs w:val="24"/>
              </w:rPr>
              <w:t>自知悉事實之次一營業日起，停止其在</w:t>
            </w:r>
            <w:proofErr w:type="gramStart"/>
            <w:r w:rsidRPr="000F7738">
              <w:rPr>
                <w:rFonts w:ascii="標楷體" w:eastAsia="標楷體" w:hAnsi="標楷體" w:cs="細明體"/>
                <w:kern w:val="0"/>
                <w:szCs w:val="24"/>
              </w:rPr>
              <w:t>臺</w:t>
            </w:r>
            <w:proofErr w:type="gramEnd"/>
            <w:r w:rsidRPr="000F7738">
              <w:rPr>
                <w:rFonts w:ascii="標楷體" w:eastAsia="標楷體" w:hAnsi="標楷體" w:cs="細明體"/>
                <w:kern w:val="0"/>
                <w:szCs w:val="24"/>
              </w:rPr>
              <w:t>分支機構在本公司之受託及自行買</w:t>
            </w:r>
            <w:r w:rsidRPr="000F7738">
              <w:rPr>
                <w:rFonts w:ascii="標楷體" w:eastAsia="標楷體" w:hAnsi="標楷體" w:cs="細明體"/>
                <w:kern w:val="0"/>
                <w:szCs w:val="24"/>
              </w:rPr>
              <w:lastRenderedPageBreak/>
              <w:t>賣，並函報主管機關。</w:t>
            </w:r>
          </w:p>
          <w:p w:rsidR="000F7738" w:rsidRPr="000F7738" w:rsidRDefault="000F7738" w:rsidP="0095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2.</w:t>
            </w:r>
            <w:r w:rsidRPr="000F7738">
              <w:rPr>
                <w:rFonts w:ascii="標楷體" w:eastAsia="標楷體" w:hAnsi="標楷體" w:cs="細明體"/>
                <w:kern w:val="0"/>
                <w:szCs w:val="24"/>
              </w:rPr>
              <w:t>前項停止買賣前，未了結之交割事務，即依</w:t>
            </w:r>
            <w:r w:rsidR="005F3E61" w:rsidRPr="005F3E61">
              <w:rPr>
                <w:rFonts w:ascii="標楷體" w:eastAsia="標楷體" w:hAnsi="標楷體" w:cs="細明體" w:hint="eastAsia"/>
                <w:kern w:val="0"/>
                <w:szCs w:val="24"/>
                <w:u w:val="single"/>
              </w:rPr>
              <w:t>本公司</w:t>
            </w:r>
            <w:r w:rsidRPr="005F3E61">
              <w:rPr>
                <w:rFonts w:ascii="標楷體" w:eastAsia="標楷體" w:hAnsi="標楷體" w:cs="細明體"/>
                <w:kern w:val="0"/>
                <w:szCs w:val="24"/>
                <w:u w:val="single"/>
              </w:rPr>
              <w:t>「證券商專案檢查與輔導辦法」</w:t>
            </w:r>
            <w:r w:rsidRPr="000F7738">
              <w:rPr>
                <w:rFonts w:ascii="標楷體" w:eastAsia="標楷體" w:hAnsi="標楷體" w:cs="細明體"/>
                <w:kern w:val="0"/>
                <w:szCs w:val="24"/>
              </w:rPr>
              <w:t>規定，通知受委任證券商或指定他證券商代辦之，並由本公司派員協助輔導，以確保客戶權益。</w:t>
            </w:r>
          </w:p>
          <w:p w:rsidR="00BA2119" w:rsidRDefault="000F7738" w:rsidP="000F77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rPr>
            </w:pPr>
            <w:r>
              <w:rPr>
                <w:rFonts w:ascii="標楷體" w:eastAsia="標楷體" w:hAnsi="標楷體" w:cs="細明體" w:hint="eastAsia"/>
                <w:kern w:val="0"/>
                <w:szCs w:val="24"/>
              </w:rPr>
              <w:t>3.</w:t>
            </w:r>
            <w:r w:rsidRPr="000F7738">
              <w:rPr>
                <w:rFonts w:ascii="標楷體" w:eastAsia="標楷體" w:hAnsi="標楷體" w:cs="細明體"/>
                <w:kern w:val="0"/>
                <w:szCs w:val="24"/>
              </w:rPr>
              <w:t>以基本市</w:t>
            </w:r>
            <w:proofErr w:type="gramStart"/>
            <w:r w:rsidRPr="000F7738">
              <w:rPr>
                <w:rFonts w:ascii="標楷體" w:eastAsia="標楷體" w:hAnsi="標楷體" w:cs="細明體"/>
                <w:kern w:val="0"/>
                <w:szCs w:val="24"/>
              </w:rPr>
              <w:t>況</w:t>
            </w:r>
            <w:proofErr w:type="gramEnd"/>
            <w:r w:rsidRPr="000F7738">
              <w:rPr>
                <w:rFonts w:ascii="標楷體" w:eastAsia="標楷體" w:hAnsi="標楷體" w:cs="細明體"/>
                <w:kern w:val="0"/>
                <w:szCs w:val="24"/>
              </w:rPr>
              <w:t>報導，揭露相關重要資訊予證券同業及投資大眾。</w:t>
            </w:r>
          </w:p>
        </w:tc>
        <w:tc>
          <w:tcPr>
            <w:tcW w:w="2960" w:type="dxa"/>
          </w:tcPr>
          <w:p w:rsidR="00BA2119" w:rsidRPr="00BA2119" w:rsidRDefault="00BA2119" w:rsidP="00BA2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kern w:val="0"/>
                <w:szCs w:val="24"/>
              </w:rPr>
            </w:pPr>
            <w:r w:rsidRPr="00BA2119">
              <w:rPr>
                <w:rFonts w:ascii="標楷體" w:eastAsia="標楷體" w:hAnsi="標楷體" w:cs="細明體"/>
                <w:color w:val="000000"/>
                <w:kern w:val="0"/>
                <w:szCs w:val="24"/>
              </w:rPr>
              <w:lastRenderedPageBreak/>
              <w:t>四</w:t>
            </w:r>
            <w:r>
              <w:rPr>
                <w:rFonts w:ascii="標楷體" w:eastAsia="標楷體" w:hAnsi="標楷體" w:cs="細明體" w:hint="eastAsia"/>
                <w:color w:val="000000"/>
                <w:kern w:val="0"/>
                <w:szCs w:val="24"/>
              </w:rPr>
              <w:t>、</w:t>
            </w:r>
            <w:r w:rsidRPr="00BA2119">
              <w:rPr>
                <w:rFonts w:ascii="標楷體" w:eastAsia="標楷體" w:hAnsi="標楷體" w:cs="細明體"/>
                <w:color w:val="000000"/>
                <w:kern w:val="0"/>
                <w:szCs w:val="24"/>
              </w:rPr>
              <w:t>臨時性之危機處理中心應由本公司副總經理級以上人員任召集人，並協調各相關部門，依下列步驟處理：</w:t>
            </w:r>
          </w:p>
          <w:p w:rsidR="00BA2119" w:rsidRDefault="00BA2119" w:rsidP="002F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r>
              <w:rPr>
                <w:rFonts w:ascii="標楷體" w:eastAsia="標楷體" w:hAnsi="標楷體" w:cs="細明體" w:hint="eastAsia"/>
                <w:kern w:val="0"/>
                <w:szCs w:val="24"/>
              </w:rPr>
              <w:t>(</w:t>
            </w:r>
            <w:proofErr w:type="gramStart"/>
            <w:r>
              <w:rPr>
                <w:rFonts w:ascii="標楷體" w:eastAsia="標楷體" w:hAnsi="標楷體" w:cs="細明體" w:hint="eastAsia"/>
                <w:kern w:val="0"/>
                <w:szCs w:val="24"/>
              </w:rPr>
              <w:t>第一項略</w:t>
            </w:r>
            <w:proofErr w:type="gramEnd"/>
            <w:r>
              <w:rPr>
                <w:rFonts w:ascii="標楷體" w:eastAsia="標楷體" w:hAnsi="標楷體" w:cs="細明體" w:hint="eastAsia"/>
                <w:kern w:val="0"/>
                <w:szCs w:val="24"/>
              </w:rPr>
              <w:t>)</w:t>
            </w:r>
          </w:p>
          <w:p w:rsidR="00ED3101" w:rsidRPr="00ED3101" w:rsidRDefault="00ED3101" w:rsidP="00ED3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r w:rsidRPr="00ED3101">
              <w:rPr>
                <w:rFonts w:ascii="標楷體" w:eastAsia="標楷體" w:hAnsi="標楷體" w:cs="細明體"/>
                <w:kern w:val="0"/>
                <w:szCs w:val="24"/>
              </w:rPr>
              <w:t xml:space="preserve">(二) </w:t>
            </w:r>
            <w:proofErr w:type="gramStart"/>
            <w:r w:rsidRPr="00ED3101">
              <w:rPr>
                <w:rFonts w:ascii="標楷體" w:eastAsia="標楷體" w:hAnsi="標楷體" w:cs="細明體"/>
                <w:kern w:val="0"/>
                <w:szCs w:val="24"/>
              </w:rPr>
              <w:t>俟</w:t>
            </w:r>
            <w:proofErr w:type="gramEnd"/>
            <w:r w:rsidRPr="00ED3101">
              <w:rPr>
                <w:rFonts w:ascii="標楷體" w:eastAsia="標楷體" w:hAnsi="標楷體" w:cs="細明體"/>
                <w:kern w:val="0"/>
                <w:szCs w:val="24"/>
              </w:rPr>
              <w:t>前開確認手續完備，本公司應依下列事項辦理：</w:t>
            </w:r>
          </w:p>
          <w:p w:rsidR="00ED3101" w:rsidRPr="005408AC" w:rsidRDefault="005408AC" w:rsidP="00540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1.</w:t>
            </w:r>
            <w:r w:rsidR="00ED3101" w:rsidRPr="005408AC">
              <w:rPr>
                <w:rFonts w:ascii="標楷體" w:eastAsia="標楷體" w:hAnsi="標楷體" w:cs="細明體"/>
                <w:kern w:val="0"/>
                <w:szCs w:val="24"/>
              </w:rPr>
              <w:t>立即</w:t>
            </w:r>
            <w:proofErr w:type="gramStart"/>
            <w:r w:rsidR="00ED3101" w:rsidRPr="005408AC">
              <w:rPr>
                <w:rFonts w:ascii="標楷體" w:eastAsia="標楷體" w:hAnsi="標楷體" w:cs="細明體"/>
                <w:kern w:val="0"/>
                <w:szCs w:val="24"/>
              </w:rPr>
              <w:t>發函該外國</w:t>
            </w:r>
            <w:proofErr w:type="gramEnd"/>
            <w:r w:rsidR="00ED3101" w:rsidRPr="005408AC">
              <w:rPr>
                <w:rFonts w:ascii="標楷體" w:eastAsia="標楷體" w:hAnsi="標楷體" w:cs="細明體"/>
                <w:kern w:val="0"/>
                <w:szCs w:val="24"/>
              </w:rPr>
              <w:t>證券商之在</w:t>
            </w:r>
            <w:proofErr w:type="gramStart"/>
            <w:r w:rsidR="00ED3101" w:rsidRPr="005408AC">
              <w:rPr>
                <w:rFonts w:ascii="標楷體" w:eastAsia="標楷體" w:hAnsi="標楷體" w:cs="細明體"/>
                <w:kern w:val="0"/>
                <w:szCs w:val="24"/>
              </w:rPr>
              <w:t>臺</w:t>
            </w:r>
            <w:proofErr w:type="gramEnd"/>
            <w:r w:rsidR="00ED3101" w:rsidRPr="005408AC">
              <w:rPr>
                <w:rFonts w:ascii="標楷體" w:eastAsia="標楷體" w:hAnsi="標楷體" w:cs="細明體"/>
                <w:kern w:val="0"/>
                <w:szCs w:val="24"/>
              </w:rPr>
              <w:t>分支機構，於文到二日內提供其最新財務狀況之說明，並應涵蓋其對總公司財務危機之分析，及可能遭受總公司</w:t>
            </w:r>
            <w:r w:rsidR="00ED3101" w:rsidRPr="005408AC">
              <w:rPr>
                <w:rFonts w:ascii="標楷體" w:eastAsia="標楷體" w:hAnsi="標楷體" w:cs="細明體"/>
                <w:kern w:val="0"/>
                <w:szCs w:val="24"/>
              </w:rPr>
              <w:lastRenderedPageBreak/>
              <w:t>財務問題影響之預估。</w:t>
            </w:r>
          </w:p>
          <w:p w:rsidR="00ED3101" w:rsidRPr="005408AC" w:rsidRDefault="005408AC" w:rsidP="00540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2.</w:t>
            </w:r>
            <w:r w:rsidR="00ED3101" w:rsidRPr="005408AC">
              <w:rPr>
                <w:rFonts w:ascii="標楷體" w:eastAsia="標楷體" w:hAnsi="標楷體" w:cs="細明體"/>
                <w:kern w:val="0"/>
                <w:szCs w:val="24"/>
              </w:rPr>
              <w:t>該分支機構</w:t>
            </w:r>
            <w:proofErr w:type="gramStart"/>
            <w:r w:rsidR="00ED3101" w:rsidRPr="005408AC">
              <w:rPr>
                <w:rFonts w:ascii="標楷體" w:eastAsia="標楷體" w:hAnsi="標楷體" w:cs="細明體"/>
                <w:kern w:val="0"/>
                <w:szCs w:val="24"/>
              </w:rPr>
              <w:t>依限函報</w:t>
            </w:r>
            <w:proofErr w:type="gramEnd"/>
            <w:r w:rsidR="00ED3101" w:rsidRPr="005408AC">
              <w:rPr>
                <w:rFonts w:ascii="標楷體" w:eastAsia="標楷體" w:hAnsi="標楷體" w:cs="細明體"/>
                <w:kern w:val="0"/>
                <w:szCs w:val="24"/>
              </w:rPr>
              <w:t>前項資料後，本公司即依營業細則第二十五條第四項之規定，將該資料予以公開。</w:t>
            </w:r>
          </w:p>
          <w:p w:rsidR="00ED3101" w:rsidRPr="005408AC" w:rsidRDefault="005408AC" w:rsidP="00540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3.</w:t>
            </w:r>
            <w:r w:rsidR="00ED3101" w:rsidRPr="005408AC">
              <w:rPr>
                <w:rFonts w:ascii="標楷體" w:eastAsia="標楷體" w:hAnsi="標楷體" w:cs="細明體"/>
                <w:kern w:val="0"/>
                <w:szCs w:val="24"/>
              </w:rPr>
              <w:t>該分支機構如未依</w:t>
            </w:r>
            <w:proofErr w:type="gramStart"/>
            <w:r w:rsidR="00ED3101" w:rsidRPr="005408AC">
              <w:rPr>
                <w:rFonts w:ascii="標楷體" w:eastAsia="標楷體" w:hAnsi="標楷體" w:cs="細明體"/>
                <w:kern w:val="0"/>
                <w:szCs w:val="24"/>
              </w:rPr>
              <w:t>限函報第</w:t>
            </w:r>
            <w:proofErr w:type="gramEnd"/>
            <w:r w:rsidR="00ED3101" w:rsidRPr="005408AC">
              <w:rPr>
                <w:rFonts w:ascii="標楷體" w:eastAsia="標楷體" w:hAnsi="標楷體" w:cs="細明體"/>
                <w:kern w:val="0"/>
                <w:szCs w:val="24"/>
              </w:rPr>
              <w:t xml:space="preserve"> (一</w:t>
            </w:r>
            <w:r w:rsidR="00C94F6E">
              <w:rPr>
                <w:rFonts w:ascii="標楷體" w:eastAsia="標楷體" w:hAnsi="標楷體" w:cs="細明體"/>
                <w:kern w:val="0"/>
                <w:szCs w:val="24"/>
              </w:rPr>
              <w:t>)</w:t>
            </w:r>
            <w:r w:rsidR="00ED3101" w:rsidRPr="005408AC">
              <w:rPr>
                <w:rFonts w:ascii="標楷體" w:eastAsia="標楷體" w:hAnsi="標楷體" w:cs="細明體"/>
                <w:kern w:val="0"/>
                <w:szCs w:val="24"/>
              </w:rPr>
              <w:t>項資料，即依營業細則第一四二條第一項第一款及「證券商規避、拒絕檢查之認定標準及處理程序」第五條之規定，自次一營業日起暫停其買賣。</w:t>
            </w:r>
          </w:p>
          <w:p w:rsidR="00432250" w:rsidRDefault="00432250" w:rsidP="00ED3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細明體" w:eastAsia="細明體" w:hAnsi="細明體" w:cs="細明體"/>
                <w:color w:val="333333"/>
                <w:kern w:val="0"/>
                <w:szCs w:val="24"/>
              </w:rPr>
            </w:pPr>
          </w:p>
          <w:p w:rsidR="00432250" w:rsidRDefault="00432250" w:rsidP="00ED3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細明體" w:eastAsia="細明體" w:hAnsi="細明體" w:cs="細明體"/>
                <w:color w:val="333333"/>
                <w:kern w:val="0"/>
                <w:szCs w:val="24"/>
              </w:rPr>
            </w:pPr>
          </w:p>
          <w:p w:rsidR="00ED3101" w:rsidRPr="00ED3101" w:rsidRDefault="00ED3101" w:rsidP="00ED3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r w:rsidRPr="00ED3101">
              <w:rPr>
                <w:rFonts w:ascii="細明體" w:eastAsia="細明體" w:hAnsi="細明體" w:cs="細明體"/>
                <w:color w:val="333333"/>
                <w:kern w:val="0"/>
                <w:szCs w:val="24"/>
              </w:rPr>
              <w:t xml:space="preserve"> </w:t>
            </w:r>
            <w:r w:rsidRPr="00ED3101">
              <w:rPr>
                <w:rFonts w:ascii="標楷體" w:eastAsia="標楷體" w:hAnsi="標楷體" w:cs="細明體"/>
                <w:kern w:val="0"/>
                <w:szCs w:val="24"/>
              </w:rPr>
              <w:t>(三</w:t>
            </w:r>
            <w:r w:rsidR="005408AC">
              <w:rPr>
                <w:rFonts w:ascii="標楷體" w:eastAsia="標楷體" w:hAnsi="標楷體" w:cs="細明體"/>
                <w:kern w:val="0"/>
                <w:szCs w:val="24"/>
              </w:rPr>
              <w:t>)</w:t>
            </w:r>
            <w:r w:rsidRPr="00ED3101">
              <w:rPr>
                <w:rFonts w:ascii="標楷體" w:eastAsia="標楷體" w:hAnsi="標楷體" w:cs="細明體"/>
                <w:kern w:val="0"/>
                <w:szCs w:val="24"/>
              </w:rPr>
              <w:t>倘國外之金融風暴，業導致該外國證券商之總公司</w:t>
            </w:r>
            <w:proofErr w:type="gramStart"/>
            <w:r w:rsidRPr="00ED3101">
              <w:rPr>
                <w:rFonts w:ascii="標楷體" w:eastAsia="標楷體" w:hAnsi="標楷體" w:cs="細明體"/>
                <w:kern w:val="0"/>
                <w:szCs w:val="24"/>
              </w:rPr>
              <w:t>一</w:t>
            </w:r>
            <w:proofErr w:type="gramEnd"/>
            <w:r w:rsidRPr="00ED3101">
              <w:rPr>
                <w:rFonts w:ascii="標楷體" w:eastAsia="標楷體" w:hAnsi="標楷體" w:cs="細明體"/>
                <w:kern w:val="0"/>
                <w:szCs w:val="24"/>
              </w:rPr>
              <w:t>部份停業，本公司應辦事項如下：</w:t>
            </w:r>
          </w:p>
          <w:p w:rsidR="00ED3101" w:rsidRPr="00ED3101" w:rsidRDefault="00875F24" w:rsidP="00ED3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1.</w:t>
            </w:r>
            <w:r w:rsidR="00ED3101" w:rsidRPr="00ED3101">
              <w:rPr>
                <w:rFonts w:ascii="標楷體" w:eastAsia="標楷體" w:hAnsi="標楷體" w:cs="細明體"/>
                <w:kern w:val="0"/>
                <w:szCs w:val="24"/>
              </w:rPr>
              <w:t>知悉事實之當日或次一營業日，立即依「臺灣證券交易所股份有限公司證券商專案檢查與輔導辦法」之規定，派員赴其在</w:t>
            </w:r>
            <w:proofErr w:type="gramStart"/>
            <w:r w:rsidR="00ED3101" w:rsidRPr="00ED3101">
              <w:rPr>
                <w:rFonts w:ascii="標楷體" w:eastAsia="標楷體" w:hAnsi="標楷體" w:cs="細明體"/>
                <w:kern w:val="0"/>
                <w:szCs w:val="24"/>
              </w:rPr>
              <w:t>臺</w:t>
            </w:r>
            <w:proofErr w:type="gramEnd"/>
            <w:r w:rsidR="00ED3101" w:rsidRPr="00ED3101">
              <w:rPr>
                <w:rFonts w:ascii="標楷體" w:eastAsia="標楷體" w:hAnsi="標楷體" w:cs="細明體"/>
                <w:kern w:val="0"/>
                <w:szCs w:val="24"/>
              </w:rPr>
              <w:t>分支機構進行</w:t>
            </w:r>
            <w:r w:rsidR="00ED3101" w:rsidRPr="00ED3101">
              <w:rPr>
                <w:rFonts w:ascii="標楷體" w:eastAsia="標楷體" w:hAnsi="標楷體" w:cs="細明體"/>
                <w:kern w:val="0"/>
                <w:szCs w:val="24"/>
              </w:rPr>
              <w:lastRenderedPageBreak/>
              <w:t>財務檢查；同時</w:t>
            </w:r>
            <w:proofErr w:type="gramStart"/>
            <w:r w:rsidR="00ED3101" w:rsidRPr="00ED3101">
              <w:rPr>
                <w:rFonts w:ascii="標楷體" w:eastAsia="標楷體" w:hAnsi="標楷體" w:cs="細明體"/>
                <w:kern w:val="0"/>
                <w:szCs w:val="24"/>
              </w:rPr>
              <w:t>利用線上監視</w:t>
            </w:r>
            <w:proofErr w:type="gramEnd"/>
            <w:r w:rsidR="00ED3101" w:rsidRPr="00ED3101">
              <w:rPr>
                <w:rFonts w:ascii="標楷體" w:eastAsia="標楷體" w:hAnsi="標楷體" w:cs="細明體"/>
                <w:kern w:val="0"/>
                <w:szCs w:val="24"/>
              </w:rPr>
              <w:t>系統，管控該分支機構進出有價證券之種類及數量，並確認該分支</w:t>
            </w:r>
            <w:proofErr w:type="gramStart"/>
            <w:r w:rsidR="00ED3101" w:rsidRPr="00ED3101">
              <w:rPr>
                <w:rFonts w:ascii="標楷體" w:eastAsia="標楷體" w:hAnsi="標楷體" w:cs="細明體"/>
                <w:kern w:val="0"/>
                <w:szCs w:val="24"/>
              </w:rPr>
              <w:t>機構確依</w:t>
            </w:r>
            <w:proofErr w:type="gramEnd"/>
            <w:r w:rsidR="00ED3101" w:rsidRPr="00ED3101">
              <w:rPr>
                <w:rFonts w:ascii="標楷體" w:eastAsia="標楷體" w:hAnsi="標楷體" w:cs="細明體"/>
                <w:kern w:val="0"/>
                <w:szCs w:val="24"/>
              </w:rPr>
              <w:t>「證券商管理規則」第三十七條、三十八條之規定辦理</w:t>
            </w:r>
            <w:proofErr w:type="gramStart"/>
            <w:r w:rsidR="00ED3101" w:rsidRPr="00ED3101">
              <w:rPr>
                <w:rFonts w:ascii="標楷體" w:eastAsia="標楷體" w:hAnsi="標楷體" w:cs="細明體"/>
                <w:kern w:val="0"/>
                <w:szCs w:val="24"/>
              </w:rPr>
              <w:t>而無流用</w:t>
            </w:r>
            <w:proofErr w:type="gramEnd"/>
            <w:r w:rsidR="00ED3101" w:rsidRPr="00ED3101">
              <w:rPr>
                <w:rFonts w:ascii="標楷體" w:eastAsia="標楷體" w:hAnsi="標楷體" w:cs="細明體"/>
                <w:kern w:val="0"/>
                <w:szCs w:val="24"/>
              </w:rPr>
              <w:t>資金情事，以確保客戶權益。</w:t>
            </w:r>
          </w:p>
          <w:p w:rsidR="00ED3101" w:rsidRPr="00ED3101" w:rsidRDefault="00875F24" w:rsidP="00A50B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2.</w:t>
            </w:r>
            <w:proofErr w:type="gramStart"/>
            <w:r w:rsidR="00ED3101" w:rsidRPr="00ED3101">
              <w:rPr>
                <w:rFonts w:ascii="標楷體" w:eastAsia="標楷體" w:hAnsi="標楷體" w:cs="細明體"/>
                <w:kern w:val="0"/>
                <w:szCs w:val="24"/>
              </w:rPr>
              <w:t>前項線上監視</w:t>
            </w:r>
            <w:proofErr w:type="gramEnd"/>
            <w:r w:rsidR="00ED3101" w:rsidRPr="00ED3101">
              <w:rPr>
                <w:rFonts w:ascii="標楷體" w:eastAsia="標楷體" w:hAnsi="標楷體" w:cs="細明體"/>
                <w:kern w:val="0"/>
                <w:szCs w:val="24"/>
              </w:rPr>
              <w:t>之</w:t>
            </w:r>
            <w:proofErr w:type="gramStart"/>
            <w:r w:rsidR="00ED3101" w:rsidRPr="00ED3101">
              <w:rPr>
                <w:rFonts w:ascii="標楷體" w:eastAsia="標楷體" w:hAnsi="標楷體" w:cs="細明體"/>
                <w:kern w:val="0"/>
                <w:szCs w:val="24"/>
              </w:rPr>
              <w:t>期間，</w:t>
            </w:r>
            <w:proofErr w:type="gramEnd"/>
            <w:r w:rsidR="00ED3101" w:rsidRPr="00ED3101">
              <w:rPr>
                <w:rFonts w:ascii="標楷體" w:eastAsia="標楷體" w:hAnsi="標楷體" w:cs="細明體"/>
                <w:kern w:val="0"/>
                <w:szCs w:val="24"/>
              </w:rPr>
              <w:t>除主管機關另有指示外，應至少持續至危機處理中心同意對本國市場安全無虞為止。</w:t>
            </w:r>
          </w:p>
          <w:p w:rsidR="00BA2119" w:rsidRPr="00BA2119" w:rsidRDefault="00BA2119" w:rsidP="002F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991" w:hangingChars="235" w:hanging="564"/>
              <w:jc w:val="both"/>
              <w:rPr>
                <w:rFonts w:ascii="標楷體" w:eastAsia="標楷體" w:hAnsi="標楷體" w:cs="細明體"/>
                <w:kern w:val="0"/>
                <w:szCs w:val="24"/>
              </w:rPr>
            </w:pPr>
            <w:r w:rsidRPr="00BA2119">
              <w:rPr>
                <w:rFonts w:ascii="標楷體" w:eastAsia="標楷體" w:hAnsi="標楷體" w:cs="細明體"/>
                <w:kern w:val="0"/>
                <w:szCs w:val="24"/>
              </w:rPr>
              <w:t>(四) 倘國外之金融風暴，業導致該外國證券商之總公司全部停業，本公司除依上開</w:t>
            </w:r>
            <w:proofErr w:type="gramStart"/>
            <w:r w:rsidRPr="00BA2119">
              <w:rPr>
                <w:rFonts w:ascii="標楷體" w:eastAsia="標楷體" w:hAnsi="標楷體" w:cs="細明體"/>
                <w:kern w:val="0"/>
                <w:szCs w:val="24"/>
              </w:rPr>
              <w:t>一</w:t>
            </w:r>
            <w:proofErr w:type="gramEnd"/>
            <w:r w:rsidRPr="00BA2119">
              <w:rPr>
                <w:rFonts w:ascii="標楷體" w:eastAsia="標楷體" w:hAnsi="標楷體" w:cs="細明體"/>
                <w:kern w:val="0"/>
                <w:szCs w:val="24"/>
              </w:rPr>
              <w:t>部份停業之事項辦理外，其它應辦事項如下：</w:t>
            </w:r>
          </w:p>
          <w:p w:rsidR="00BA2119" w:rsidRPr="00BA2119" w:rsidRDefault="00BA2119" w:rsidP="00FB1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1.</w:t>
            </w:r>
            <w:r w:rsidRPr="00BA2119">
              <w:rPr>
                <w:rFonts w:ascii="標楷體" w:eastAsia="標楷體" w:hAnsi="標楷體" w:cs="細明體"/>
                <w:kern w:val="0"/>
                <w:szCs w:val="24"/>
              </w:rPr>
              <w:t>知悉事實之當日或次一營業日，通知其在</w:t>
            </w:r>
            <w:proofErr w:type="gramStart"/>
            <w:r w:rsidRPr="00BA2119">
              <w:rPr>
                <w:rFonts w:ascii="標楷體" w:eastAsia="標楷體" w:hAnsi="標楷體" w:cs="細明體"/>
                <w:kern w:val="0"/>
                <w:szCs w:val="24"/>
              </w:rPr>
              <w:t>臺</w:t>
            </w:r>
            <w:proofErr w:type="gramEnd"/>
            <w:r w:rsidRPr="00BA2119">
              <w:rPr>
                <w:rFonts w:ascii="標楷體" w:eastAsia="標楷體" w:hAnsi="標楷體" w:cs="細明體"/>
                <w:kern w:val="0"/>
                <w:szCs w:val="24"/>
              </w:rPr>
              <w:t>分支機構之負責人，於二十四小時內攜相關財務資料，向危機處理中心說明其與外國總公司間之財務防火牆關</w:t>
            </w:r>
            <w:r w:rsidRPr="00BA2119">
              <w:rPr>
                <w:rFonts w:ascii="標楷體" w:eastAsia="標楷體" w:hAnsi="標楷體" w:cs="細明體"/>
                <w:kern w:val="0"/>
                <w:szCs w:val="24"/>
              </w:rPr>
              <w:lastRenderedPageBreak/>
              <w:t>係。</w:t>
            </w:r>
          </w:p>
          <w:p w:rsidR="00BA2119" w:rsidRPr="00BA2119" w:rsidRDefault="00BA2119" w:rsidP="00FB1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2.</w:t>
            </w:r>
            <w:r w:rsidRPr="00BA2119">
              <w:rPr>
                <w:rFonts w:ascii="標楷體" w:eastAsia="標楷體" w:hAnsi="標楷體" w:cs="細明體"/>
                <w:kern w:val="0"/>
                <w:szCs w:val="24"/>
              </w:rPr>
              <w:t xml:space="preserve">自通知之次一營業日起，依據「臺灣證券交易所股份有限公司證券商專案檢查與輔導辦法」第八條規定 </w:t>
            </w:r>
            <w:r w:rsidR="008E79A9" w:rsidRPr="008E79A9">
              <w:rPr>
                <w:rFonts w:ascii="標楷體" w:eastAsia="標楷體" w:hAnsi="標楷體" w:cs="細明體"/>
                <w:kern w:val="0"/>
                <w:szCs w:val="24"/>
                <w:u w:val="single"/>
              </w:rPr>
              <w:t>(已</w:t>
            </w:r>
            <w:proofErr w:type="gramStart"/>
            <w:r w:rsidR="008E79A9" w:rsidRPr="008E79A9">
              <w:rPr>
                <w:rFonts w:ascii="標楷體" w:eastAsia="標楷體" w:hAnsi="標楷體" w:cs="細明體"/>
                <w:kern w:val="0"/>
                <w:szCs w:val="24"/>
                <w:u w:val="single"/>
              </w:rPr>
              <w:t>研</w:t>
            </w:r>
            <w:proofErr w:type="gramEnd"/>
            <w:r w:rsidR="008E79A9" w:rsidRPr="008E79A9">
              <w:rPr>
                <w:rFonts w:ascii="標楷體" w:eastAsia="標楷體" w:hAnsi="標楷體" w:cs="細明體"/>
                <w:kern w:val="0"/>
                <w:szCs w:val="24"/>
                <w:u w:val="single"/>
              </w:rPr>
              <w:t xml:space="preserve">擬修訂，報請  主管機關核定中) </w:t>
            </w:r>
            <w:r w:rsidRPr="00BA2119">
              <w:rPr>
                <w:rFonts w:ascii="標楷體" w:eastAsia="標楷體" w:hAnsi="標楷體" w:cs="細明體"/>
                <w:kern w:val="0"/>
                <w:szCs w:val="24"/>
              </w:rPr>
              <w:t>，調降其可動用資金淨額之倍數，使其受託或自行買賣金額不得逾越「證券商設置標準」</w:t>
            </w:r>
            <w:proofErr w:type="gramStart"/>
            <w:r w:rsidRPr="00BA2119">
              <w:rPr>
                <w:rFonts w:ascii="標楷體" w:eastAsia="標楷體" w:hAnsi="標楷體" w:cs="細明體"/>
                <w:kern w:val="0"/>
                <w:szCs w:val="24"/>
              </w:rPr>
              <w:t>第二十九條專撥</w:t>
            </w:r>
            <w:proofErr w:type="gramEnd"/>
            <w:r w:rsidRPr="00BA2119">
              <w:rPr>
                <w:rFonts w:ascii="標楷體" w:eastAsia="標楷體" w:hAnsi="標楷體" w:cs="細明體"/>
                <w:kern w:val="0"/>
                <w:szCs w:val="24"/>
              </w:rPr>
              <w:t>在中國民國境內營業用之資金。</w:t>
            </w:r>
          </w:p>
          <w:p w:rsidR="00BA2119" w:rsidRPr="00BA2119" w:rsidRDefault="00BA2119" w:rsidP="00FB1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3.</w:t>
            </w:r>
            <w:r w:rsidRPr="00BA2119">
              <w:rPr>
                <w:rFonts w:ascii="標楷體" w:eastAsia="標楷體" w:hAnsi="標楷體" w:cs="細明體"/>
                <w:kern w:val="0"/>
                <w:szCs w:val="24"/>
              </w:rPr>
              <w:t>前開限制非由外國證券商在</w:t>
            </w:r>
            <w:proofErr w:type="gramStart"/>
            <w:r w:rsidRPr="00BA2119">
              <w:rPr>
                <w:rFonts w:ascii="標楷體" w:eastAsia="標楷體" w:hAnsi="標楷體" w:cs="細明體"/>
                <w:kern w:val="0"/>
                <w:szCs w:val="24"/>
              </w:rPr>
              <w:t>臺</w:t>
            </w:r>
            <w:proofErr w:type="gramEnd"/>
            <w:r w:rsidRPr="00BA2119">
              <w:rPr>
                <w:rFonts w:ascii="標楷體" w:eastAsia="標楷體" w:hAnsi="標楷體" w:cs="細明體"/>
                <w:kern w:val="0"/>
                <w:szCs w:val="24"/>
              </w:rPr>
              <w:t>分支機構提出申請，並經危機處理中心同意或  主管機關指示前，不得取銷。</w:t>
            </w:r>
          </w:p>
          <w:p w:rsidR="00BA2119" w:rsidRPr="000F7738" w:rsidRDefault="00BA2119" w:rsidP="00FB1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5" w:left="991" w:hangingChars="228" w:hanging="547"/>
              <w:jc w:val="both"/>
              <w:rPr>
                <w:rFonts w:ascii="標楷體" w:eastAsia="標楷體" w:hAnsi="標楷體" w:cs="細明體"/>
                <w:kern w:val="0"/>
                <w:szCs w:val="24"/>
              </w:rPr>
            </w:pPr>
            <w:r w:rsidRPr="000F7738">
              <w:rPr>
                <w:rFonts w:ascii="標楷體" w:eastAsia="標楷體" w:hAnsi="標楷體" w:cs="細明體"/>
                <w:kern w:val="0"/>
                <w:szCs w:val="24"/>
              </w:rPr>
              <w:t>(五) 倘國外之金融風暴，業導致該外國證券商之總公司在其本國已受破產之宣告，本公司應辦事項如下：</w:t>
            </w:r>
          </w:p>
          <w:p w:rsidR="00BA2119" w:rsidRPr="000F7738" w:rsidRDefault="000F7738" w:rsidP="007B3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1.</w:t>
            </w:r>
            <w:r w:rsidR="00BA2119" w:rsidRPr="000F7738">
              <w:rPr>
                <w:rFonts w:ascii="標楷體" w:eastAsia="標楷體" w:hAnsi="標楷體" w:cs="細明體"/>
                <w:kern w:val="0"/>
                <w:szCs w:val="24"/>
              </w:rPr>
              <w:t>自知悉事實之次一營業日起，停止其在</w:t>
            </w:r>
            <w:proofErr w:type="gramStart"/>
            <w:r w:rsidR="00BA2119" w:rsidRPr="000F7738">
              <w:rPr>
                <w:rFonts w:ascii="標楷體" w:eastAsia="標楷體" w:hAnsi="標楷體" w:cs="細明體"/>
                <w:kern w:val="0"/>
                <w:szCs w:val="24"/>
              </w:rPr>
              <w:t>臺</w:t>
            </w:r>
            <w:proofErr w:type="gramEnd"/>
            <w:r w:rsidR="00BA2119" w:rsidRPr="000F7738">
              <w:rPr>
                <w:rFonts w:ascii="標楷體" w:eastAsia="標楷體" w:hAnsi="標楷體" w:cs="細明體"/>
                <w:kern w:val="0"/>
                <w:szCs w:val="24"/>
              </w:rPr>
              <w:t xml:space="preserve">分支機構在本公司之受託及自行買賣 </w:t>
            </w:r>
            <w:r w:rsidR="008E79A9" w:rsidRPr="008E79A9">
              <w:rPr>
                <w:rFonts w:ascii="標楷體" w:eastAsia="標楷體" w:hAnsi="標楷體" w:cs="細明體"/>
                <w:kern w:val="0"/>
                <w:szCs w:val="24"/>
                <w:u w:val="single"/>
              </w:rPr>
              <w:lastRenderedPageBreak/>
              <w:t>(奉核後，擬於相關規章增訂法源依據)</w:t>
            </w:r>
            <w:r w:rsidR="00BA2119" w:rsidRPr="00956F13">
              <w:rPr>
                <w:rFonts w:ascii="標楷體" w:eastAsia="標楷體" w:hAnsi="標楷體" w:cs="細明體"/>
                <w:kern w:val="0"/>
                <w:szCs w:val="24"/>
              </w:rPr>
              <w:t xml:space="preserve"> </w:t>
            </w:r>
            <w:r w:rsidR="00BA2119" w:rsidRPr="000F7738">
              <w:rPr>
                <w:rFonts w:ascii="標楷體" w:eastAsia="標楷體" w:hAnsi="標楷體" w:cs="細明體"/>
                <w:kern w:val="0"/>
                <w:szCs w:val="24"/>
              </w:rPr>
              <w:t>，並函報主管機關。</w:t>
            </w:r>
          </w:p>
          <w:p w:rsidR="00BA2119" w:rsidRPr="000F7738" w:rsidRDefault="000F7738" w:rsidP="0095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2.</w:t>
            </w:r>
            <w:r w:rsidR="00BA2119" w:rsidRPr="000F7738">
              <w:rPr>
                <w:rFonts w:ascii="標楷體" w:eastAsia="標楷體" w:hAnsi="標楷體" w:cs="細明體"/>
                <w:kern w:val="0"/>
                <w:szCs w:val="24"/>
              </w:rPr>
              <w:t>前項停止買賣前，未了結之交割事務，即依「臺灣證券交易所股份有限公司證券商專案檢查與輔導辦法」規定，通知受委任證券商或指定他證券商代辦之，並由本公司派員協助輔導，以確保客戶權益。</w:t>
            </w:r>
          </w:p>
          <w:p w:rsidR="00BA2119" w:rsidRPr="00956F13" w:rsidRDefault="000F7738" w:rsidP="0095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jc w:val="both"/>
              <w:rPr>
                <w:rFonts w:ascii="標楷體" w:eastAsia="標楷體" w:hAnsi="標楷體" w:cs="細明體"/>
                <w:kern w:val="0"/>
                <w:szCs w:val="24"/>
              </w:rPr>
            </w:pPr>
            <w:r>
              <w:rPr>
                <w:rFonts w:ascii="標楷體" w:eastAsia="標楷體" w:hAnsi="標楷體" w:cs="細明體" w:hint="eastAsia"/>
                <w:kern w:val="0"/>
                <w:szCs w:val="24"/>
              </w:rPr>
              <w:t>3.</w:t>
            </w:r>
            <w:r w:rsidR="00BA2119" w:rsidRPr="000F7738">
              <w:rPr>
                <w:rFonts w:ascii="標楷體" w:eastAsia="標楷體" w:hAnsi="標楷體" w:cs="細明體"/>
                <w:kern w:val="0"/>
                <w:szCs w:val="24"/>
              </w:rPr>
              <w:t>以基本市</w:t>
            </w:r>
            <w:proofErr w:type="gramStart"/>
            <w:r w:rsidR="00BA2119" w:rsidRPr="000F7738">
              <w:rPr>
                <w:rFonts w:ascii="標楷體" w:eastAsia="標楷體" w:hAnsi="標楷體" w:cs="細明體"/>
                <w:kern w:val="0"/>
                <w:szCs w:val="24"/>
              </w:rPr>
              <w:t>況</w:t>
            </w:r>
            <w:proofErr w:type="gramEnd"/>
            <w:r w:rsidR="00BA2119" w:rsidRPr="000F7738">
              <w:rPr>
                <w:rFonts w:ascii="標楷體" w:eastAsia="標楷體" w:hAnsi="標楷體" w:cs="細明體"/>
                <w:kern w:val="0"/>
                <w:szCs w:val="24"/>
              </w:rPr>
              <w:t>報導，揭露相關重要資訊予證券同業及投資大眾。</w:t>
            </w:r>
          </w:p>
          <w:p w:rsidR="00BA2119" w:rsidRPr="00BA2119" w:rsidRDefault="00BA2119" w:rsidP="0017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kern w:val="0"/>
                <w:szCs w:val="24"/>
              </w:rPr>
            </w:pPr>
          </w:p>
        </w:tc>
        <w:tc>
          <w:tcPr>
            <w:tcW w:w="2442" w:type="dxa"/>
          </w:tcPr>
          <w:p w:rsidR="001A1440" w:rsidRDefault="001A1440" w:rsidP="00480733">
            <w:pPr>
              <w:pStyle w:val="HTML"/>
              <w:ind w:left="458" w:hangingChars="191" w:hanging="458"/>
              <w:jc w:val="both"/>
              <w:rPr>
                <w:rFonts w:ascii="標楷體" w:eastAsia="標楷體" w:hAnsi="標楷體"/>
                <w:color w:val="000000"/>
              </w:rPr>
            </w:pPr>
            <w:r>
              <w:rPr>
                <w:rFonts w:ascii="標楷體" w:eastAsia="標楷體" w:hAnsi="標楷體" w:hint="eastAsia"/>
                <w:color w:val="000000"/>
              </w:rPr>
              <w:lastRenderedPageBreak/>
              <w:t>一、本點第二項第三款援引本公司「證券商規避、拒絕檢查之認定標準及處理程序」第五條之規定，已修改為第四條，</w:t>
            </w:r>
            <w:proofErr w:type="gramStart"/>
            <w:r>
              <w:rPr>
                <w:rFonts w:ascii="標楷體" w:eastAsia="標楷體" w:hAnsi="標楷體" w:hint="eastAsia"/>
                <w:color w:val="000000"/>
              </w:rPr>
              <w:t>爰</w:t>
            </w:r>
            <w:proofErr w:type="gramEnd"/>
            <w:r>
              <w:rPr>
                <w:rFonts w:ascii="標楷體" w:eastAsia="標楷體" w:hAnsi="標楷體" w:hint="eastAsia"/>
                <w:color w:val="000000"/>
              </w:rPr>
              <w:t>配合修正。</w:t>
            </w:r>
          </w:p>
          <w:p w:rsidR="002141B1" w:rsidRDefault="002141B1" w:rsidP="00480733">
            <w:pPr>
              <w:pStyle w:val="HTML"/>
              <w:ind w:left="458" w:hangingChars="191" w:hanging="458"/>
              <w:jc w:val="both"/>
              <w:rPr>
                <w:rFonts w:ascii="標楷體" w:eastAsia="標楷體" w:hAnsi="標楷體"/>
                <w:color w:val="000000"/>
              </w:rPr>
            </w:pPr>
            <w:r>
              <w:rPr>
                <w:rFonts w:ascii="標楷體" w:eastAsia="標楷體" w:hAnsi="標楷體" w:hint="eastAsia"/>
                <w:color w:val="000000"/>
              </w:rPr>
              <w:t>二、本點第三項第一款援引</w:t>
            </w:r>
            <w:r w:rsidRPr="00ED3101">
              <w:rPr>
                <w:rFonts w:ascii="標楷體" w:eastAsia="標楷體" w:hAnsi="標楷體"/>
                <w:color w:val="auto"/>
              </w:rPr>
              <w:t>「證券商管理</w:t>
            </w:r>
            <w:r w:rsidRPr="002141B1">
              <w:rPr>
                <w:rFonts w:ascii="標楷體" w:eastAsia="標楷體" w:hAnsi="標楷體"/>
                <w:color w:val="auto"/>
              </w:rPr>
              <w:t>規則」</w:t>
            </w:r>
            <w:r w:rsidRPr="002141B1">
              <w:rPr>
                <w:rFonts w:ascii="標楷體" w:eastAsia="標楷體" w:hAnsi="標楷體" w:hint="eastAsia"/>
                <w:color w:val="auto"/>
              </w:rPr>
              <w:t>第三十七條、第三十八條之規定，已修改為第三十八條、第三十九條，</w:t>
            </w:r>
            <w:proofErr w:type="gramStart"/>
            <w:r w:rsidRPr="002141B1">
              <w:rPr>
                <w:rFonts w:ascii="標楷體" w:eastAsia="標楷體" w:hAnsi="標楷體" w:hint="eastAsia"/>
                <w:color w:val="auto"/>
              </w:rPr>
              <w:t>爰</w:t>
            </w:r>
            <w:proofErr w:type="gramEnd"/>
            <w:r w:rsidRPr="002141B1">
              <w:rPr>
                <w:rFonts w:ascii="標楷體" w:eastAsia="標楷體" w:hAnsi="標楷體" w:hint="eastAsia"/>
                <w:color w:val="auto"/>
              </w:rPr>
              <w:t>配合修正。</w:t>
            </w:r>
          </w:p>
          <w:p w:rsidR="00BA2119" w:rsidRDefault="002141B1" w:rsidP="00480733">
            <w:pPr>
              <w:pStyle w:val="HTML"/>
              <w:ind w:leftChars="14" w:left="459" w:hangingChars="177" w:hanging="425"/>
              <w:jc w:val="both"/>
              <w:rPr>
                <w:rFonts w:ascii="標楷體" w:eastAsia="標楷體" w:hAnsi="標楷體"/>
                <w:color w:val="000000"/>
              </w:rPr>
            </w:pPr>
            <w:r>
              <w:rPr>
                <w:rFonts w:ascii="標楷體" w:eastAsia="標楷體" w:hAnsi="標楷體" w:hint="eastAsia"/>
                <w:color w:val="000000"/>
              </w:rPr>
              <w:t>三</w:t>
            </w:r>
            <w:r w:rsidR="001A1440">
              <w:rPr>
                <w:rFonts w:ascii="標楷體" w:eastAsia="標楷體" w:hAnsi="標楷體" w:hint="eastAsia"/>
                <w:color w:val="000000"/>
              </w:rPr>
              <w:t>、</w:t>
            </w:r>
            <w:r w:rsidR="00293A36">
              <w:rPr>
                <w:rFonts w:ascii="標楷體" w:eastAsia="標楷體" w:hAnsi="標楷體" w:hint="eastAsia"/>
                <w:color w:val="000000"/>
              </w:rPr>
              <w:t>本點</w:t>
            </w:r>
            <w:r w:rsidR="00480733">
              <w:rPr>
                <w:rFonts w:ascii="標楷體" w:eastAsia="標楷體" w:hAnsi="標楷體" w:hint="eastAsia"/>
                <w:color w:val="000000"/>
              </w:rPr>
              <w:t>第二項至</w:t>
            </w:r>
            <w:r w:rsidR="00293A36">
              <w:rPr>
                <w:rFonts w:ascii="標楷體" w:eastAsia="標楷體" w:hAnsi="標楷體" w:hint="eastAsia"/>
                <w:color w:val="000000"/>
              </w:rPr>
              <w:t>第</w:t>
            </w:r>
            <w:r w:rsidR="00293A36">
              <w:rPr>
                <w:rFonts w:ascii="標楷體" w:eastAsia="標楷體" w:hAnsi="標楷體" w:hint="eastAsia"/>
                <w:color w:val="000000"/>
              </w:rPr>
              <w:lastRenderedPageBreak/>
              <w:t>五項文字略為修正。</w:t>
            </w:r>
          </w:p>
        </w:tc>
      </w:tr>
    </w:tbl>
    <w:p w:rsidR="004116CF" w:rsidRPr="002310F6" w:rsidRDefault="004116CF">
      <w:pPr>
        <w:rPr>
          <w:rFonts w:ascii="標楷體" w:eastAsia="標楷體" w:hAnsi="標楷體"/>
        </w:rPr>
      </w:pPr>
    </w:p>
    <w:sectPr w:rsidR="004116CF" w:rsidRPr="002310F6" w:rsidSect="006B298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8D" w:rsidRDefault="00F2608D" w:rsidP="004116CF">
      <w:r>
        <w:separator/>
      </w:r>
    </w:p>
  </w:endnote>
  <w:endnote w:type="continuationSeparator" w:id="0">
    <w:p w:rsidR="00F2608D" w:rsidRDefault="00F2608D" w:rsidP="004116C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465"/>
      <w:docPartObj>
        <w:docPartGallery w:val="Page Numbers (Bottom of Page)"/>
        <w:docPartUnique/>
      </w:docPartObj>
    </w:sdtPr>
    <w:sdtContent>
      <w:p w:rsidR="00820D19" w:rsidRDefault="00082609">
        <w:pPr>
          <w:pStyle w:val="a5"/>
          <w:jc w:val="center"/>
        </w:pPr>
        <w:fldSimple w:instr=" PAGE   \* MERGEFORMAT ">
          <w:r w:rsidR="00AC6A34" w:rsidRPr="00AC6A34">
            <w:rPr>
              <w:noProof/>
              <w:lang w:val="zh-TW"/>
            </w:rPr>
            <w:t>5</w:t>
          </w:r>
        </w:fldSimple>
      </w:p>
    </w:sdtContent>
  </w:sdt>
  <w:p w:rsidR="00820D19" w:rsidRDefault="00820D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8D" w:rsidRDefault="00F2608D" w:rsidP="004116CF">
      <w:r>
        <w:separator/>
      </w:r>
    </w:p>
  </w:footnote>
  <w:footnote w:type="continuationSeparator" w:id="0">
    <w:p w:rsidR="00F2608D" w:rsidRDefault="00F2608D" w:rsidP="00411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26A"/>
    <w:multiLevelType w:val="hybridMultilevel"/>
    <w:tmpl w:val="D7323A70"/>
    <w:lvl w:ilvl="0" w:tplc="6944B26E">
      <w:start w:val="1"/>
      <w:numFmt w:val="taiwaneseCountingThousand"/>
      <w:lvlText w:val="%1、"/>
      <w:lvlJc w:val="left"/>
      <w:pPr>
        <w:ind w:left="691" w:hanging="360"/>
      </w:pPr>
      <w:rPr>
        <w:rFonts w:ascii="標楷體" w:eastAsia="標楷體" w:hAnsi="標楷體" w:hint="default"/>
        <w:color w:val="000000"/>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
    <w:nsid w:val="164505A2"/>
    <w:multiLevelType w:val="hybridMultilevel"/>
    <w:tmpl w:val="70B67D52"/>
    <w:lvl w:ilvl="0" w:tplc="1D5240C0">
      <w:start w:val="1"/>
      <w:numFmt w:val="taiwaneseCountingThousand"/>
      <w:lvlText w:val="%1、"/>
      <w:lvlJc w:val="left"/>
      <w:pPr>
        <w:ind w:left="691" w:hanging="36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2">
    <w:nsid w:val="609916F3"/>
    <w:multiLevelType w:val="hybridMultilevel"/>
    <w:tmpl w:val="1F849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873F60"/>
    <w:multiLevelType w:val="hybridMultilevel"/>
    <w:tmpl w:val="476EB7C2"/>
    <w:lvl w:ilvl="0" w:tplc="5F4A1AEC">
      <w:start w:val="1"/>
      <w:numFmt w:val="taiwaneseCountingThousand"/>
      <w:lvlText w:val="%1、"/>
      <w:lvlJc w:val="left"/>
      <w:pPr>
        <w:ind w:left="691" w:hanging="360"/>
      </w:pPr>
      <w:rPr>
        <w:rFonts w:hint="default"/>
        <w:u w:val="non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6CF"/>
    <w:rsid w:val="00001C35"/>
    <w:rsid w:val="0000542B"/>
    <w:rsid w:val="000349F9"/>
    <w:rsid w:val="00046FC8"/>
    <w:rsid w:val="00071AC6"/>
    <w:rsid w:val="00074C1F"/>
    <w:rsid w:val="00082609"/>
    <w:rsid w:val="00086B51"/>
    <w:rsid w:val="000A0AF4"/>
    <w:rsid w:val="000B057A"/>
    <w:rsid w:val="000B05B5"/>
    <w:rsid w:val="000B276A"/>
    <w:rsid w:val="000B2BF7"/>
    <w:rsid w:val="000D11F6"/>
    <w:rsid w:val="000D3BF9"/>
    <w:rsid w:val="000F7738"/>
    <w:rsid w:val="0011118C"/>
    <w:rsid w:val="0011262E"/>
    <w:rsid w:val="00115A6D"/>
    <w:rsid w:val="0012396C"/>
    <w:rsid w:val="00145BB1"/>
    <w:rsid w:val="0016085E"/>
    <w:rsid w:val="00173937"/>
    <w:rsid w:val="00176BE2"/>
    <w:rsid w:val="001A1440"/>
    <w:rsid w:val="001A31CE"/>
    <w:rsid w:val="001B216F"/>
    <w:rsid w:val="001C3619"/>
    <w:rsid w:val="001C36FF"/>
    <w:rsid w:val="001D55F5"/>
    <w:rsid w:val="001F6FFB"/>
    <w:rsid w:val="002141B1"/>
    <w:rsid w:val="00226DDF"/>
    <w:rsid w:val="00230FAB"/>
    <w:rsid w:val="002310F6"/>
    <w:rsid w:val="002423F8"/>
    <w:rsid w:val="00246459"/>
    <w:rsid w:val="002534F2"/>
    <w:rsid w:val="002574F3"/>
    <w:rsid w:val="00293A36"/>
    <w:rsid w:val="002B219B"/>
    <w:rsid w:val="002B7A0D"/>
    <w:rsid w:val="002C305D"/>
    <w:rsid w:val="002C6400"/>
    <w:rsid w:val="002D1ECB"/>
    <w:rsid w:val="002E17BE"/>
    <w:rsid w:val="002E6868"/>
    <w:rsid w:val="002F1A83"/>
    <w:rsid w:val="002F57A9"/>
    <w:rsid w:val="002F5E38"/>
    <w:rsid w:val="002F6D94"/>
    <w:rsid w:val="002F7A0C"/>
    <w:rsid w:val="00300E9B"/>
    <w:rsid w:val="003143EF"/>
    <w:rsid w:val="00316C91"/>
    <w:rsid w:val="00343408"/>
    <w:rsid w:val="003501F3"/>
    <w:rsid w:val="0035110B"/>
    <w:rsid w:val="00372B81"/>
    <w:rsid w:val="00372EC3"/>
    <w:rsid w:val="003730D0"/>
    <w:rsid w:val="003B345C"/>
    <w:rsid w:val="003D56F1"/>
    <w:rsid w:val="003D5DFB"/>
    <w:rsid w:val="003D7251"/>
    <w:rsid w:val="003E797A"/>
    <w:rsid w:val="003F1ECA"/>
    <w:rsid w:val="00403C63"/>
    <w:rsid w:val="004116CF"/>
    <w:rsid w:val="0042793A"/>
    <w:rsid w:val="00432250"/>
    <w:rsid w:val="00433A41"/>
    <w:rsid w:val="00434285"/>
    <w:rsid w:val="00462D9B"/>
    <w:rsid w:val="00465123"/>
    <w:rsid w:val="00465FD1"/>
    <w:rsid w:val="0046658E"/>
    <w:rsid w:val="00477EC6"/>
    <w:rsid w:val="00480733"/>
    <w:rsid w:val="004B2A21"/>
    <w:rsid w:val="004C2B76"/>
    <w:rsid w:val="004D4F87"/>
    <w:rsid w:val="004E35A4"/>
    <w:rsid w:val="005363D5"/>
    <w:rsid w:val="005408AC"/>
    <w:rsid w:val="0056756D"/>
    <w:rsid w:val="00586DA6"/>
    <w:rsid w:val="005A06F8"/>
    <w:rsid w:val="005A2837"/>
    <w:rsid w:val="005D31CB"/>
    <w:rsid w:val="005F3E61"/>
    <w:rsid w:val="00607EB0"/>
    <w:rsid w:val="006175FA"/>
    <w:rsid w:val="00620FEE"/>
    <w:rsid w:val="006763E6"/>
    <w:rsid w:val="00681B07"/>
    <w:rsid w:val="00682010"/>
    <w:rsid w:val="00686807"/>
    <w:rsid w:val="006A4F28"/>
    <w:rsid w:val="006A562A"/>
    <w:rsid w:val="006B2980"/>
    <w:rsid w:val="006B6C12"/>
    <w:rsid w:val="006D3E49"/>
    <w:rsid w:val="006D44E8"/>
    <w:rsid w:val="006F7E50"/>
    <w:rsid w:val="0070702D"/>
    <w:rsid w:val="00733EE2"/>
    <w:rsid w:val="007440AB"/>
    <w:rsid w:val="007734B5"/>
    <w:rsid w:val="0077768A"/>
    <w:rsid w:val="007839AE"/>
    <w:rsid w:val="007A3E14"/>
    <w:rsid w:val="007B3368"/>
    <w:rsid w:val="007D5F6E"/>
    <w:rsid w:val="00800751"/>
    <w:rsid w:val="00806AC3"/>
    <w:rsid w:val="00807BB6"/>
    <w:rsid w:val="00820D19"/>
    <w:rsid w:val="00825322"/>
    <w:rsid w:val="0085394A"/>
    <w:rsid w:val="00861A7C"/>
    <w:rsid w:val="00875F24"/>
    <w:rsid w:val="00887C8F"/>
    <w:rsid w:val="008A1D71"/>
    <w:rsid w:val="008B2DAC"/>
    <w:rsid w:val="008D3117"/>
    <w:rsid w:val="008D5F71"/>
    <w:rsid w:val="008D722E"/>
    <w:rsid w:val="008E5EF5"/>
    <w:rsid w:val="008E79A9"/>
    <w:rsid w:val="008F2C75"/>
    <w:rsid w:val="00915FC9"/>
    <w:rsid w:val="00954C12"/>
    <w:rsid w:val="00956F13"/>
    <w:rsid w:val="00977A5D"/>
    <w:rsid w:val="00982691"/>
    <w:rsid w:val="009A018F"/>
    <w:rsid w:val="009E510B"/>
    <w:rsid w:val="009F3595"/>
    <w:rsid w:val="00A17426"/>
    <w:rsid w:val="00A3300C"/>
    <w:rsid w:val="00A361C3"/>
    <w:rsid w:val="00A50B9F"/>
    <w:rsid w:val="00A5756C"/>
    <w:rsid w:val="00A774A5"/>
    <w:rsid w:val="00A90AE1"/>
    <w:rsid w:val="00AB3B51"/>
    <w:rsid w:val="00AC6A34"/>
    <w:rsid w:val="00AD71A7"/>
    <w:rsid w:val="00AE0BC3"/>
    <w:rsid w:val="00AE33B2"/>
    <w:rsid w:val="00AE3CD4"/>
    <w:rsid w:val="00B46B2E"/>
    <w:rsid w:val="00B83B45"/>
    <w:rsid w:val="00B91AC1"/>
    <w:rsid w:val="00B96133"/>
    <w:rsid w:val="00BA10D4"/>
    <w:rsid w:val="00BA2119"/>
    <w:rsid w:val="00BA5017"/>
    <w:rsid w:val="00BB301A"/>
    <w:rsid w:val="00BC57C1"/>
    <w:rsid w:val="00BD23F1"/>
    <w:rsid w:val="00BD63A2"/>
    <w:rsid w:val="00BF2C7A"/>
    <w:rsid w:val="00BF5561"/>
    <w:rsid w:val="00C00C1F"/>
    <w:rsid w:val="00C11762"/>
    <w:rsid w:val="00C1269C"/>
    <w:rsid w:val="00C457E7"/>
    <w:rsid w:val="00C51E40"/>
    <w:rsid w:val="00C52A3B"/>
    <w:rsid w:val="00C72627"/>
    <w:rsid w:val="00C72C23"/>
    <w:rsid w:val="00C8075F"/>
    <w:rsid w:val="00C80E5E"/>
    <w:rsid w:val="00C94F6E"/>
    <w:rsid w:val="00CB06FB"/>
    <w:rsid w:val="00CC773D"/>
    <w:rsid w:val="00CD51B8"/>
    <w:rsid w:val="00D055BD"/>
    <w:rsid w:val="00D16DF4"/>
    <w:rsid w:val="00D213A2"/>
    <w:rsid w:val="00D42C0B"/>
    <w:rsid w:val="00D434EC"/>
    <w:rsid w:val="00D56E9F"/>
    <w:rsid w:val="00D66245"/>
    <w:rsid w:val="00D70502"/>
    <w:rsid w:val="00D73201"/>
    <w:rsid w:val="00D87883"/>
    <w:rsid w:val="00D93055"/>
    <w:rsid w:val="00DA2A13"/>
    <w:rsid w:val="00DA4EB8"/>
    <w:rsid w:val="00DC7B60"/>
    <w:rsid w:val="00DD7314"/>
    <w:rsid w:val="00DE6F17"/>
    <w:rsid w:val="00DF6B7D"/>
    <w:rsid w:val="00DF76F6"/>
    <w:rsid w:val="00DF7CA9"/>
    <w:rsid w:val="00E04F9B"/>
    <w:rsid w:val="00E272A9"/>
    <w:rsid w:val="00E41EB4"/>
    <w:rsid w:val="00E45C94"/>
    <w:rsid w:val="00E516D6"/>
    <w:rsid w:val="00E75A54"/>
    <w:rsid w:val="00EA044A"/>
    <w:rsid w:val="00EB1088"/>
    <w:rsid w:val="00EB5A6A"/>
    <w:rsid w:val="00EC6011"/>
    <w:rsid w:val="00EC7A97"/>
    <w:rsid w:val="00ED3101"/>
    <w:rsid w:val="00EE574F"/>
    <w:rsid w:val="00EF031D"/>
    <w:rsid w:val="00EF5812"/>
    <w:rsid w:val="00EF5F56"/>
    <w:rsid w:val="00F055C3"/>
    <w:rsid w:val="00F15C52"/>
    <w:rsid w:val="00F21E6A"/>
    <w:rsid w:val="00F2301B"/>
    <w:rsid w:val="00F2608D"/>
    <w:rsid w:val="00F33EDA"/>
    <w:rsid w:val="00F643D3"/>
    <w:rsid w:val="00F73C0A"/>
    <w:rsid w:val="00F84A26"/>
    <w:rsid w:val="00F93BE2"/>
    <w:rsid w:val="00FA1211"/>
    <w:rsid w:val="00FB1B5C"/>
    <w:rsid w:val="00FC0436"/>
    <w:rsid w:val="00FD3B18"/>
    <w:rsid w:val="00FD5EC9"/>
    <w:rsid w:val="00FE25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6CF"/>
    <w:pPr>
      <w:tabs>
        <w:tab w:val="center" w:pos="4153"/>
        <w:tab w:val="right" w:pos="8306"/>
      </w:tabs>
      <w:snapToGrid w:val="0"/>
    </w:pPr>
    <w:rPr>
      <w:sz w:val="20"/>
      <w:szCs w:val="20"/>
    </w:rPr>
  </w:style>
  <w:style w:type="character" w:customStyle="1" w:styleId="a4">
    <w:name w:val="頁首 字元"/>
    <w:basedOn w:val="a0"/>
    <w:link w:val="a3"/>
    <w:uiPriority w:val="99"/>
    <w:semiHidden/>
    <w:rsid w:val="004116CF"/>
    <w:rPr>
      <w:sz w:val="20"/>
      <w:szCs w:val="20"/>
    </w:rPr>
  </w:style>
  <w:style w:type="paragraph" w:styleId="a5">
    <w:name w:val="footer"/>
    <w:basedOn w:val="a"/>
    <w:link w:val="a6"/>
    <w:uiPriority w:val="99"/>
    <w:unhideWhenUsed/>
    <w:rsid w:val="004116CF"/>
    <w:pPr>
      <w:tabs>
        <w:tab w:val="center" w:pos="4153"/>
        <w:tab w:val="right" w:pos="8306"/>
      </w:tabs>
      <w:snapToGrid w:val="0"/>
    </w:pPr>
    <w:rPr>
      <w:sz w:val="20"/>
      <w:szCs w:val="20"/>
    </w:rPr>
  </w:style>
  <w:style w:type="character" w:customStyle="1" w:styleId="a6">
    <w:name w:val="頁尾 字元"/>
    <w:basedOn w:val="a0"/>
    <w:link w:val="a5"/>
    <w:uiPriority w:val="99"/>
    <w:rsid w:val="004116CF"/>
    <w:rPr>
      <w:sz w:val="20"/>
      <w:szCs w:val="20"/>
    </w:rPr>
  </w:style>
  <w:style w:type="table" w:styleId="a7">
    <w:name w:val="Table Grid"/>
    <w:basedOn w:val="a1"/>
    <w:uiPriority w:val="59"/>
    <w:rsid w:val="00411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411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4116CF"/>
    <w:rPr>
      <w:rFonts w:ascii="細明體" w:eastAsia="細明體" w:hAnsi="細明體" w:cs="細明體"/>
      <w:color w:val="333333"/>
      <w:kern w:val="0"/>
      <w:szCs w:val="24"/>
    </w:rPr>
  </w:style>
  <w:style w:type="paragraph" w:styleId="a8">
    <w:name w:val="List Paragraph"/>
    <w:basedOn w:val="a"/>
    <w:uiPriority w:val="34"/>
    <w:qFormat/>
    <w:rsid w:val="00086B51"/>
    <w:pPr>
      <w:ind w:leftChars="200" w:left="480"/>
    </w:pPr>
  </w:style>
  <w:style w:type="paragraph" w:styleId="a9">
    <w:name w:val="Plain Text"/>
    <w:basedOn w:val="a"/>
    <w:link w:val="aa"/>
    <w:uiPriority w:val="99"/>
    <w:unhideWhenUsed/>
    <w:rsid w:val="00071AC6"/>
    <w:rPr>
      <w:rFonts w:hAnsi="Courier New" w:cs="Courier New"/>
      <w:szCs w:val="24"/>
    </w:rPr>
  </w:style>
  <w:style w:type="character" w:customStyle="1" w:styleId="aa">
    <w:name w:val="純文字 字元"/>
    <w:basedOn w:val="a0"/>
    <w:link w:val="a9"/>
    <w:uiPriority w:val="99"/>
    <w:rsid w:val="00071AC6"/>
    <w:rPr>
      <w:rFonts w:ascii="Calibri" w:eastAsia="新細明體" w:hAnsi="Courier New" w:cs="Courier New"/>
      <w:szCs w:val="24"/>
    </w:rPr>
  </w:style>
  <w:style w:type="paragraph" w:styleId="ab">
    <w:name w:val="Balloon Text"/>
    <w:basedOn w:val="a"/>
    <w:link w:val="ac"/>
    <w:uiPriority w:val="99"/>
    <w:semiHidden/>
    <w:unhideWhenUsed/>
    <w:rsid w:val="00C80E5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0E5E"/>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1A1440"/>
    <w:rPr>
      <w:sz w:val="18"/>
      <w:szCs w:val="18"/>
    </w:rPr>
  </w:style>
  <w:style w:type="paragraph" w:styleId="ae">
    <w:name w:val="annotation text"/>
    <w:basedOn w:val="a"/>
    <w:link w:val="af"/>
    <w:uiPriority w:val="99"/>
    <w:semiHidden/>
    <w:unhideWhenUsed/>
    <w:rsid w:val="001A1440"/>
  </w:style>
  <w:style w:type="character" w:customStyle="1" w:styleId="af">
    <w:name w:val="註解文字 字元"/>
    <w:basedOn w:val="a0"/>
    <w:link w:val="ae"/>
    <w:uiPriority w:val="99"/>
    <w:semiHidden/>
    <w:rsid w:val="001A1440"/>
    <w:rPr>
      <w:kern w:val="2"/>
      <w:sz w:val="24"/>
      <w:szCs w:val="22"/>
    </w:rPr>
  </w:style>
  <w:style w:type="paragraph" w:styleId="af0">
    <w:name w:val="annotation subject"/>
    <w:basedOn w:val="ae"/>
    <w:next w:val="ae"/>
    <w:link w:val="af1"/>
    <w:uiPriority w:val="99"/>
    <w:semiHidden/>
    <w:unhideWhenUsed/>
    <w:rsid w:val="001A1440"/>
    <w:rPr>
      <w:b/>
      <w:bCs/>
    </w:rPr>
  </w:style>
  <w:style w:type="character" w:customStyle="1" w:styleId="af1">
    <w:name w:val="註解主旨 字元"/>
    <w:basedOn w:val="af"/>
    <w:link w:val="af0"/>
    <w:uiPriority w:val="99"/>
    <w:semiHidden/>
    <w:rsid w:val="001A1440"/>
    <w:rPr>
      <w:b/>
      <w:bCs/>
    </w:rPr>
  </w:style>
</w:styles>
</file>

<file path=word/webSettings.xml><?xml version="1.0" encoding="utf-8"?>
<w:webSettings xmlns:r="http://schemas.openxmlformats.org/officeDocument/2006/relationships" xmlns:w="http://schemas.openxmlformats.org/wordprocessingml/2006/main">
  <w:divs>
    <w:div w:id="25496580">
      <w:bodyDiv w:val="1"/>
      <w:marLeft w:val="0"/>
      <w:marRight w:val="0"/>
      <w:marTop w:val="0"/>
      <w:marBottom w:val="0"/>
      <w:divBdr>
        <w:top w:val="none" w:sz="0" w:space="0" w:color="auto"/>
        <w:left w:val="none" w:sz="0" w:space="0" w:color="auto"/>
        <w:bottom w:val="none" w:sz="0" w:space="0" w:color="auto"/>
        <w:right w:val="none" w:sz="0" w:space="0" w:color="auto"/>
      </w:divBdr>
    </w:div>
    <w:div w:id="243998185">
      <w:bodyDiv w:val="1"/>
      <w:marLeft w:val="0"/>
      <w:marRight w:val="0"/>
      <w:marTop w:val="0"/>
      <w:marBottom w:val="0"/>
      <w:divBdr>
        <w:top w:val="none" w:sz="0" w:space="0" w:color="auto"/>
        <w:left w:val="none" w:sz="0" w:space="0" w:color="auto"/>
        <w:bottom w:val="none" w:sz="0" w:space="0" w:color="auto"/>
        <w:right w:val="none" w:sz="0" w:space="0" w:color="auto"/>
      </w:divBdr>
    </w:div>
    <w:div w:id="858200352">
      <w:bodyDiv w:val="1"/>
      <w:marLeft w:val="0"/>
      <w:marRight w:val="0"/>
      <w:marTop w:val="0"/>
      <w:marBottom w:val="0"/>
      <w:divBdr>
        <w:top w:val="none" w:sz="0" w:space="0" w:color="auto"/>
        <w:left w:val="none" w:sz="0" w:space="0" w:color="auto"/>
        <w:bottom w:val="none" w:sz="0" w:space="0" w:color="auto"/>
        <w:right w:val="none" w:sz="0" w:space="0" w:color="auto"/>
      </w:divBdr>
    </w:div>
    <w:div w:id="998538061">
      <w:bodyDiv w:val="1"/>
      <w:marLeft w:val="0"/>
      <w:marRight w:val="0"/>
      <w:marTop w:val="0"/>
      <w:marBottom w:val="0"/>
      <w:divBdr>
        <w:top w:val="none" w:sz="0" w:space="0" w:color="auto"/>
        <w:left w:val="none" w:sz="0" w:space="0" w:color="auto"/>
        <w:bottom w:val="none" w:sz="0" w:space="0" w:color="auto"/>
        <w:right w:val="none" w:sz="0" w:space="0" w:color="auto"/>
      </w:divBdr>
    </w:div>
    <w:div w:id="13914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2258</Characters>
  <Application>Microsoft Office Word</Application>
  <DocSecurity>0</DocSecurity>
  <Lines>18</Lines>
  <Paragraphs>5</Paragraphs>
  <ScaleCrop>false</ScaleCrop>
  <Company>TWSE</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0675</dc:creator>
  <cp:lastModifiedBy>0425</cp:lastModifiedBy>
  <cp:revision>2</cp:revision>
  <cp:lastPrinted>2014-08-12T02:47:00Z</cp:lastPrinted>
  <dcterms:created xsi:type="dcterms:W3CDTF">2015-01-15T07:04:00Z</dcterms:created>
  <dcterms:modified xsi:type="dcterms:W3CDTF">2015-01-15T07:04:00Z</dcterms:modified>
</cp:coreProperties>
</file>