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1" w:rsidRPr="005713EF" w:rsidRDefault="00056391" w:rsidP="00056391">
      <w:pPr>
        <w:pStyle w:val="HTML"/>
        <w:rPr>
          <w:rFonts w:ascii="標楷體" w:eastAsia="標楷體" w:hAnsi="標楷體"/>
          <w:color w:val="auto"/>
          <w:sz w:val="36"/>
          <w:szCs w:val="36"/>
        </w:rPr>
      </w:pPr>
      <w:r w:rsidRPr="005713EF">
        <w:rPr>
          <w:rFonts w:ascii="標楷體" w:eastAsia="標楷體" w:hAnsi="標楷體"/>
          <w:color w:val="auto"/>
          <w:sz w:val="36"/>
          <w:szCs w:val="36"/>
        </w:rPr>
        <w:t>證券商辦理有價證券買賣融資融券業務操作辦法</w:t>
      </w:r>
      <w:r w:rsidRPr="005713EF">
        <w:rPr>
          <w:rFonts w:ascii="標楷體" w:eastAsia="標楷體" w:hAnsi="標楷體" w:hint="eastAsia"/>
          <w:color w:val="auto"/>
          <w:sz w:val="36"/>
          <w:szCs w:val="36"/>
        </w:rPr>
        <w:t>第三 十五條修正條文對照表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35"/>
        <w:gridCol w:w="2584"/>
      </w:tblGrid>
      <w:tr w:rsidR="00056391" w:rsidRPr="005713EF" w:rsidTr="00AE4851">
        <w:tc>
          <w:tcPr>
            <w:tcW w:w="2943" w:type="dxa"/>
          </w:tcPr>
          <w:p w:rsidR="00056391" w:rsidRPr="005713EF" w:rsidRDefault="00056391" w:rsidP="00DC13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5713EF">
              <w:rPr>
                <w:rFonts w:ascii="標楷體" w:eastAsia="標楷體" w:hAnsi="標楷體"/>
              </w:rPr>
              <w:t>修正條文</w:t>
            </w:r>
          </w:p>
        </w:tc>
        <w:tc>
          <w:tcPr>
            <w:tcW w:w="2835" w:type="dxa"/>
          </w:tcPr>
          <w:p w:rsidR="00056391" w:rsidRPr="005713EF" w:rsidRDefault="00056391" w:rsidP="00DC13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5713EF">
              <w:rPr>
                <w:rFonts w:ascii="標楷體" w:eastAsia="標楷體" w:hAnsi="標楷體"/>
              </w:rPr>
              <w:t>現行條文</w:t>
            </w:r>
          </w:p>
        </w:tc>
        <w:tc>
          <w:tcPr>
            <w:tcW w:w="2584" w:type="dxa"/>
          </w:tcPr>
          <w:p w:rsidR="00056391" w:rsidRPr="005713EF" w:rsidRDefault="00056391" w:rsidP="00DC13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5713EF">
              <w:rPr>
                <w:rFonts w:ascii="標楷體" w:eastAsia="標楷體" w:hAnsi="標楷體"/>
              </w:rPr>
              <w:t>說明</w:t>
            </w:r>
          </w:p>
        </w:tc>
      </w:tr>
      <w:tr w:rsidR="00056391" w:rsidRPr="005713EF" w:rsidTr="00AE4851">
        <w:tc>
          <w:tcPr>
            <w:tcW w:w="2943" w:type="dxa"/>
          </w:tcPr>
          <w:p w:rsidR="00AC7C4A" w:rsidRPr="005713EF" w:rsidRDefault="00AC7C4A" w:rsidP="00AC7C4A">
            <w:pPr>
              <w:pStyle w:val="HTML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 w:hint="eastAsia"/>
                <w:color w:val="auto"/>
              </w:rPr>
              <w:t>第三十五條</w:t>
            </w:r>
          </w:p>
          <w:p w:rsidR="00056391" w:rsidRPr="005713EF" w:rsidRDefault="00056391" w:rsidP="00056391">
            <w:pPr>
              <w:pStyle w:val="HTML"/>
              <w:ind w:firstLineChars="197" w:firstLine="473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得為融資融券之有價證券，自發行公司停止過戶前</w:t>
            </w:r>
            <w:r w:rsidR="00597722" w:rsidRPr="005713EF">
              <w:rPr>
                <w:rFonts w:ascii="標楷體" w:eastAsia="標楷體" w:hAnsi="標楷體" w:hint="eastAsia"/>
                <w:color w:val="auto"/>
                <w:u w:val="single"/>
              </w:rPr>
              <w:t>六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營業日起，停止融券賣出</w:t>
            </w:r>
            <w:r w:rsidRPr="005713EF">
              <w:rPr>
                <w:rFonts w:ascii="標楷體" w:eastAsia="標楷體" w:hAnsi="標楷體" w:hint="eastAsia"/>
                <w:color w:val="auto"/>
                <w:u w:val="single"/>
              </w:rPr>
              <w:t>四</w:t>
            </w:r>
            <w:r w:rsidRPr="005713EF">
              <w:rPr>
                <w:rFonts w:ascii="標楷體" w:eastAsia="標楷體" w:hAnsi="標楷體"/>
                <w:color w:val="auto"/>
              </w:rPr>
              <w:t>日；已融券者，應於停止過戶第六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營業日前，還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券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了結。但發行公司因下列原因停止過戶者不在此限。</w:t>
            </w:r>
          </w:p>
          <w:p w:rsidR="00056391" w:rsidRPr="005713EF" w:rsidRDefault="00056391" w:rsidP="00056391">
            <w:pPr>
              <w:pStyle w:val="HTML"/>
              <w:ind w:firstLineChars="79" w:firstLine="190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一、召開臨時股東會。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二、其原因不影響行使股東權者。</w:t>
            </w:r>
          </w:p>
          <w:p w:rsidR="00056391" w:rsidRPr="005713EF" w:rsidRDefault="00056391" w:rsidP="00056391">
            <w:pPr>
              <w:pStyle w:val="HTML"/>
              <w:ind w:firstLineChars="197" w:firstLine="473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前項營業日為交易日，但發行公司停止過戶開始日訂於農曆春節前最後交易日後之第二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交割日 (含) 至農曆春節後第二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交易日 (含) 時，依下列規定辦理：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一、當停止過戶開始日訂於農曆春節前最後交易日後之第二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交割日時，則最後交易日後之第一個交割日列入營業日計算。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二、當停止過戶開始日訂於農曆春節假期或農曆春節後第一個交易日時，則最後交易日後之二個交割日皆列入營業日計</w:t>
            </w:r>
            <w:r w:rsidRPr="005713EF">
              <w:rPr>
                <w:rFonts w:ascii="標楷體" w:eastAsia="標楷體" w:hAnsi="標楷體"/>
                <w:color w:val="auto"/>
              </w:rPr>
              <w:lastRenderedPageBreak/>
              <w:t>算。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三、當停止過戶開始日訂於農曆春節後第一個交易日後之例假日與第二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交易日時，則最後交易日後之第一個交割日列入營業日計算。</w:t>
            </w:r>
          </w:p>
        </w:tc>
        <w:tc>
          <w:tcPr>
            <w:tcW w:w="2835" w:type="dxa"/>
          </w:tcPr>
          <w:p w:rsidR="00AC7C4A" w:rsidRPr="005713EF" w:rsidRDefault="00AC7C4A" w:rsidP="00AC7C4A">
            <w:pPr>
              <w:pStyle w:val="HTML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 w:hint="eastAsia"/>
                <w:color w:val="auto"/>
              </w:rPr>
              <w:lastRenderedPageBreak/>
              <w:t>第三十五條</w:t>
            </w:r>
          </w:p>
          <w:p w:rsidR="00056391" w:rsidRPr="005713EF" w:rsidRDefault="00056391" w:rsidP="00056391">
            <w:pPr>
              <w:pStyle w:val="HTML"/>
              <w:ind w:firstLineChars="197" w:firstLine="473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得為融資融券之有價證券，自發行公司</w:t>
            </w:r>
            <w:r w:rsidRPr="005713EF">
              <w:rPr>
                <w:rFonts w:ascii="標楷體" w:eastAsia="標楷體" w:hAnsi="標楷體"/>
                <w:color w:val="auto"/>
                <w:u w:val="single"/>
              </w:rPr>
              <w:t>停止過戶前五</w:t>
            </w:r>
            <w:proofErr w:type="gramStart"/>
            <w:r w:rsidRPr="005713EF">
              <w:rPr>
                <w:rFonts w:ascii="標楷體" w:eastAsia="標楷體" w:hAnsi="標楷體"/>
                <w:color w:val="auto"/>
                <w:u w:val="single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  <w:u w:val="single"/>
              </w:rPr>
              <w:t>營業日起，停止融資買進三日，並於</w:t>
            </w:r>
            <w:r w:rsidRPr="005713EF">
              <w:rPr>
                <w:rFonts w:ascii="標楷體" w:eastAsia="標楷體" w:hAnsi="標楷體"/>
                <w:color w:val="auto"/>
              </w:rPr>
              <w:t>停止過戶前七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營業日起，停止融券賣出五日；已融券者，應於停止過戶第六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營業日前，還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券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了結。但發行公司因下列原因停止過戶者不在此限。</w:t>
            </w:r>
          </w:p>
          <w:p w:rsidR="00056391" w:rsidRPr="005713EF" w:rsidRDefault="00056391" w:rsidP="00056391">
            <w:pPr>
              <w:pStyle w:val="HTML"/>
              <w:ind w:firstLineChars="79" w:firstLine="190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一、召開臨時股東會。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二、其原因不影響行使股東權者。</w:t>
            </w:r>
          </w:p>
          <w:p w:rsidR="00056391" w:rsidRPr="005713EF" w:rsidRDefault="00056391" w:rsidP="00056391">
            <w:pPr>
              <w:pStyle w:val="HTML"/>
              <w:ind w:firstLineChars="197" w:firstLine="473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前項營業日為交易日，但發行公司停止過戶開始日訂於農曆春節前最後交易日後之第二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交割日 (含) 至農曆春節後第二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交易日 (含) 時，依下列規定辦理：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一、當停止過戶開始日訂於農曆春節前最後交易日後之第二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交割日時，則最後交易日後之第一個交割日列入營業日計算。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二、當停止過戶開始日訂於農曆春節假期或農曆春節後第一個交易日時，則最</w:t>
            </w:r>
            <w:r w:rsidRPr="005713EF">
              <w:rPr>
                <w:rFonts w:ascii="標楷體" w:eastAsia="標楷體" w:hAnsi="標楷體"/>
                <w:color w:val="auto"/>
              </w:rPr>
              <w:lastRenderedPageBreak/>
              <w:t>後交易日後之二個交割日皆列入營業日計算。</w:t>
            </w:r>
          </w:p>
          <w:p w:rsidR="00056391" w:rsidRPr="005713EF" w:rsidRDefault="00056391" w:rsidP="00056391">
            <w:pPr>
              <w:pStyle w:val="HTML"/>
              <w:ind w:leftChars="79" w:left="615" w:hangingChars="177" w:hanging="425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/>
                <w:color w:val="auto"/>
              </w:rPr>
              <w:t>三、當停止過戶開始日訂於農曆春節後第一個交易日後之例假日與第二</w:t>
            </w:r>
            <w:proofErr w:type="gramStart"/>
            <w:r w:rsidRPr="005713EF">
              <w:rPr>
                <w:rFonts w:ascii="標楷體" w:eastAsia="標楷體" w:hAnsi="標楷體"/>
                <w:color w:val="auto"/>
              </w:rPr>
              <w:t>個</w:t>
            </w:r>
            <w:proofErr w:type="gramEnd"/>
            <w:r w:rsidRPr="005713EF">
              <w:rPr>
                <w:rFonts w:ascii="標楷體" w:eastAsia="標楷體" w:hAnsi="標楷體"/>
                <w:color w:val="auto"/>
              </w:rPr>
              <w:t>交易日時，則最後交易日後之第一個交割日列入營業日計算。</w:t>
            </w:r>
          </w:p>
          <w:p w:rsidR="00056391" w:rsidRPr="005713EF" w:rsidRDefault="00056391" w:rsidP="00DC13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</w:tcPr>
          <w:p w:rsidR="00C84F17" w:rsidRPr="005713EF" w:rsidRDefault="00AC7C4A" w:rsidP="005713EF">
            <w:pPr>
              <w:pStyle w:val="HTML"/>
              <w:ind w:firstLineChars="197" w:firstLine="473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 w:hint="eastAsia"/>
                <w:color w:val="auto"/>
              </w:rPr>
              <w:lastRenderedPageBreak/>
              <w:t>考量有價證券業全面無實體，</w:t>
            </w:r>
            <w:r w:rsidR="00B15810" w:rsidRPr="005713EF">
              <w:rPr>
                <w:rFonts w:ascii="標楷體" w:eastAsia="標楷體" w:hAnsi="標楷體" w:hint="eastAsia"/>
                <w:color w:val="auto"/>
              </w:rPr>
              <w:t>並由集保公司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透過</w:t>
            </w:r>
            <w:r w:rsidR="00B15810" w:rsidRPr="005713EF">
              <w:rPr>
                <w:rFonts w:ascii="標楷體" w:eastAsia="標楷體" w:hAnsi="標楷體" w:hint="eastAsia"/>
                <w:color w:val="auto"/>
              </w:rPr>
              <w:t>電腦編製</w:t>
            </w:r>
            <w:r w:rsidR="00AE4851" w:rsidRPr="005713EF">
              <w:rPr>
                <w:rFonts w:ascii="標楷體" w:eastAsia="標楷體" w:hAnsi="標楷體" w:hint="eastAsia"/>
                <w:color w:val="auto"/>
              </w:rPr>
              <w:t>融資人過戶清冊</w:t>
            </w:r>
            <w:r w:rsidR="00B15810" w:rsidRPr="005713EF">
              <w:rPr>
                <w:rFonts w:ascii="標楷體" w:eastAsia="標楷體" w:hAnsi="標楷體" w:hint="eastAsia"/>
                <w:color w:val="auto"/>
              </w:rPr>
              <w:t>，</w:t>
            </w:r>
            <w:proofErr w:type="gramStart"/>
            <w:r w:rsidR="00AE4851" w:rsidRPr="005713EF">
              <w:rPr>
                <w:rFonts w:ascii="標楷體" w:eastAsia="標楷體" w:hAnsi="標楷體" w:hint="eastAsia"/>
                <w:color w:val="auto"/>
              </w:rPr>
              <w:t>提供予授信</w:t>
            </w:r>
            <w:proofErr w:type="gramEnd"/>
            <w:r w:rsidR="00AE4851" w:rsidRPr="005713EF">
              <w:rPr>
                <w:rFonts w:ascii="標楷體" w:eastAsia="標楷體" w:hAnsi="標楷體" w:hint="eastAsia"/>
                <w:color w:val="auto"/>
              </w:rPr>
              <w:t>機構核對後</w:t>
            </w:r>
            <w:r w:rsidR="00781A85" w:rsidRPr="005713EF">
              <w:rPr>
                <w:rFonts w:ascii="標楷體" w:eastAsia="標楷體" w:hAnsi="標楷體" w:hint="eastAsia"/>
                <w:color w:val="auto"/>
              </w:rPr>
              <w:t>，</w:t>
            </w:r>
            <w:r w:rsidR="00AE4851" w:rsidRPr="005713EF">
              <w:rPr>
                <w:rFonts w:ascii="標楷體" w:eastAsia="標楷體" w:hAnsi="標楷體" w:hint="eastAsia"/>
                <w:color w:val="auto"/>
              </w:rPr>
              <w:t>代向發行公司辦理過戶</w:t>
            </w:r>
            <w:r w:rsidRPr="005713EF">
              <w:rPr>
                <w:rFonts w:ascii="標楷體" w:eastAsia="標楷體" w:hAnsi="標楷體" w:hint="eastAsia"/>
                <w:color w:val="auto"/>
              </w:rPr>
              <w:t>，停止融資買進</w:t>
            </w:r>
            <w:r w:rsidR="00781A85" w:rsidRPr="005713EF">
              <w:rPr>
                <w:rFonts w:ascii="標楷體" w:eastAsia="標楷體" w:hAnsi="標楷體" w:hint="eastAsia"/>
                <w:color w:val="auto"/>
              </w:rPr>
              <w:t>3</w:t>
            </w:r>
            <w:r w:rsidRPr="005713EF">
              <w:rPr>
                <w:rFonts w:ascii="標楷體" w:eastAsia="標楷體" w:hAnsi="標楷體" w:hint="eastAsia"/>
                <w:color w:val="auto"/>
              </w:rPr>
              <w:t>日已無必要。</w:t>
            </w:r>
          </w:p>
          <w:p w:rsidR="00056391" w:rsidRPr="005713EF" w:rsidRDefault="00AE4851" w:rsidP="005713EF">
            <w:pPr>
              <w:pStyle w:val="HTML"/>
              <w:ind w:firstLineChars="197" w:firstLine="473"/>
              <w:rPr>
                <w:rFonts w:ascii="標楷體" w:eastAsia="標楷體" w:hAnsi="標楷體"/>
                <w:color w:val="auto"/>
              </w:rPr>
            </w:pPr>
            <w:r w:rsidRPr="005713EF">
              <w:rPr>
                <w:rFonts w:ascii="標楷體" w:eastAsia="標楷體" w:hAnsi="標楷體" w:hint="eastAsia"/>
                <w:color w:val="auto"/>
              </w:rPr>
              <w:t>停止融券賣出由</w:t>
            </w:r>
            <w:r w:rsidR="00781A85" w:rsidRPr="005713EF">
              <w:rPr>
                <w:rFonts w:ascii="標楷體" w:eastAsia="標楷體" w:hAnsi="標楷體" w:hint="eastAsia"/>
                <w:color w:val="auto"/>
              </w:rPr>
              <w:t>5</w:t>
            </w:r>
            <w:r w:rsidRPr="005713EF">
              <w:rPr>
                <w:rFonts w:ascii="標楷體" w:eastAsia="標楷體" w:hAnsi="標楷體" w:hint="eastAsia"/>
                <w:color w:val="auto"/>
              </w:rPr>
              <w:t>日縮短為</w:t>
            </w:r>
            <w:r w:rsidR="00781A85" w:rsidRPr="005713EF">
              <w:rPr>
                <w:rFonts w:ascii="標楷體" w:eastAsia="標楷體" w:hAnsi="標楷體" w:hint="eastAsia"/>
                <w:color w:val="auto"/>
              </w:rPr>
              <w:t>4</w:t>
            </w:r>
            <w:r w:rsidRPr="005713EF">
              <w:rPr>
                <w:rFonts w:ascii="標楷體" w:eastAsia="標楷體" w:hAnsi="標楷體" w:hint="eastAsia"/>
                <w:color w:val="auto"/>
              </w:rPr>
              <w:t>日，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將使</w:t>
            </w:r>
            <w:r w:rsidR="00B15810" w:rsidRPr="005713EF">
              <w:rPr>
                <w:rFonts w:ascii="標楷體" w:eastAsia="標楷體" w:hAnsi="標楷體" w:hint="eastAsia"/>
                <w:color w:val="auto"/>
              </w:rPr>
              <w:t>停止融券賣出起日與融券最後回補日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為</w:t>
            </w:r>
            <w:r w:rsidR="00B15810" w:rsidRPr="005713EF">
              <w:rPr>
                <w:rFonts w:ascii="標楷體" w:eastAsia="標楷體" w:hAnsi="標楷體" w:hint="eastAsia"/>
                <w:color w:val="auto"/>
              </w:rPr>
              <w:t>同日，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可兼顧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授信機構處分買回作業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時程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，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及避免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發生新增融券賣出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，同日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又要求回補了結之</w:t>
            </w:r>
            <w:proofErr w:type="gramStart"/>
            <w:r w:rsidR="00651697" w:rsidRPr="005713EF">
              <w:rPr>
                <w:rFonts w:ascii="標楷體" w:eastAsia="標楷體" w:hAnsi="標楷體" w:hint="eastAsia"/>
                <w:color w:val="auto"/>
              </w:rPr>
              <w:t>扞</w:t>
            </w:r>
            <w:proofErr w:type="gramEnd"/>
            <w:r w:rsidR="00651697" w:rsidRPr="005713EF">
              <w:rPr>
                <w:rFonts w:ascii="標楷體" w:eastAsia="標楷體" w:hAnsi="標楷體" w:hint="eastAsia"/>
                <w:color w:val="auto"/>
              </w:rPr>
              <w:t>格現象，對投資人及授信機構作業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造成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困擾。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另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停止融券賣出期間</w:t>
            </w:r>
            <w:r w:rsidRPr="005713EF">
              <w:rPr>
                <w:rFonts w:ascii="標楷體" w:eastAsia="標楷體" w:hAnsi="標楷體" w:hint="eastAsia"/>
                <w:color w:val="auto"/>
              </w:rPr>
              <w:t>縮短1天，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也</w:t>
            </w:r>
            <w:r w:rsidRPr="005713EF">
              <w:rPr>
                <w:rFonts w:ascii="標楷體" w:eastAsia="標楷體" w:hAnsi="標楷體" w:hint="eastAsia"/>
                <w:color w:val="auto"/>
              </w:rPr>
              <w:t>有利於資</w:t>
            </w:r>
            <w:proofErr w:type="gramStart"/>
            <w:r w:rsidRPr="005713EF">
              <w:rPr>
                <w:rFonts w:ascii="標楷體" w:eastAsia="標楷體" w:hAnsi="標楷體" w:hint="eastAsia"/>
                <w:color w:val="auto"/>
              </w:rPr>
              <w:t>券</w:t>
            </w:r>
            <w:proofErr w:type="gramEnd"/>
            <w:r w:rsidRPr="005713EF">
              <w:rPr>
                <w:rFonts w:ascii="標楷體" w:eastAsia="標楷體" w:hAnsi="標楷體" w:hint="eastAsia"/>
                <w:color w:val="auto"/>
              </w:rPr>
              <w:t>相抵交割</w:t>
            </w:r>
            <w:r w:rsidR="00651697" w:rsidRPr="005713EF">
              <w:rPr>
                <w:rFonts w:ascii="標楷體" w:eastAsia="標楷體" w:hAnsi="標楷體" w:hint="eastAsia"/>
                <w:color w:val="auto"/>
              </w:rPr>
              <w:t>多1日</w:t>
            </w:r>
            <w:r w:rsidRPr="005713EF">
              <w:rPr>
                <w:rFonts w:ascii="標楷體" w:eastAsia="標楷體" w:hAnsi="標楷體" w:hint="eastAsia"/>
                <w:color w:val="auto"/>
              </w:rPr>
              <w:t>之交易，</w:t>
            </w:r>
            <w:r w:rsidR="00C84F17" w:rsidRPr="005713EF">
              <w:rPr>
                <w:rFonts w:ascii="標楷體" w:eastAsia="標楷體" w:hAnsi="標楷體" w:hint="eastAsia"/>
                <w:color w:val="auto"/>
              </w:rPr>
              <w:t>可</w:t>
            </w:r>
            <w:r w:rsidRPr="005713EF">
              <w:rPr>
                <w:rFonts w:ascii="標楷體" w:eastAsia="標楷體" w:hAnsi="標楷體" w:hint="eastAsia"/>
                <w:color w:val="auto"/>
              </w:rPr>
              <w:t>滿足投資人避險需求，</w:t>
            </w:r>
            <w:proofErr w:type="gramStart"/>
            <w:r w:rsidR="00AC7C4A" w:rsidRPr="005713EF">
              <w:rPr>
                <w:rFonts w:ascii="標楷體" w:eastAsia="標楷體" w:hAnsi="標楷體" w:hint="eastAsia"/>
                <w:color w:val="auto"/>
              </w:rPr>
              <w:t>爰</w:t>
            </w:r>
            <w:proofErr w:type="gramEnd"/>
            <w:r w:rsidR="00AC7C4A" w:rsidRPr="005713EF">
              <w:rPr>
                <w:rFonts w:ascii="標楷體" w:eastAsia="標楷體" w:hAnsi="標楷體" w:hint="eastAsia"/>
                <w:color w:val="auto"/>
              </w:rPr>
              <w:t>修正第一項規定。</w:t>
            </w:r>
          </w:p>
        </w:tc>
      </w:tr>
    </w:tbl>
    <w:p w:rsidR="00B76EE1" w:rsidRPr="005713EF" w:rsidRDefault="00B76EE1">
      <w:pPr>
        <w:rPr>
          <w:rFonts w:ascii="標楷體" w:eastAsia="標楷體" w:hAnsi="標楷體"/>
        </w:rPr>
      </w:pPr>
    </w:p>
    <w:sectPr w:rsidR="00B76EE1" w:rsidRPr="005713EF" w:rsidSect="00B76E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81" w:rsidRDefault="00D17B81" w:rsidP="00056391">
      <w:r>
        <w:separator/>
      </w:r>
    </w:p>
  </w:endnote>
  <w:endnote w:type="continuationSeparator" w:id="0">
    <w:p w:rsidR="00D17B81" w:rsidRDefault="00D17B81" w:rsidP="0005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810"/>
      <w:docPartObj>
        <w:docPartGallery w:val="Page Numbers (Bottom of Page)"/>
        <w:docPartUnique/>
      </w:docPartObj>
    </w:sdtPr>
    <w:sdtContent>
      <w:p w:rsidR="00225881" w:rsidRDefault="007E620F">
        <w:pPr>
          <w:pStyle w:val="a5"/>
          <w:jc w:val="center"/>
        </w:pPr>
        <w:fldSimple w:instr=" PAGE   \* MERGEFORMAT ">
          <w:r w:rsidR="00613305" w:rsidRPr="00613305">
            <w:rPr>
              <w:noProof/>
              <w:lang w:val="zh-TW"/>
            </w:rPr>
            <w:t>1</w:t>
          </w:r>
        </w:fldSimple>
      </w:p>
    </w:sdtContent>
  </w:sdt>
  <w:p w:rsidR="00225881" w:rsidRDefault="002258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81" w:rsidRDefault="00D17B81" w:rsidP="00056391">
      <w:r>
        <w:separator/>
      </w:r>
    </w:p>
  </w:footnote>
  <w:footnote w:type="continuationSeparator" w:id="0">
    <w:p w:rsidR="00D17B81" w:rsidRDefault="00D17B81" w:rsidP="00056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391"/>
    <w:rsid w:val="00022824"/>
    <w:rsid w:val="00056391"/>
    <w:rsid w:val="000917E2"/>
    <w:rsid w:val="00212686"/>
    <w:rsid w:val="00225881"/>
    <w:rsid w:val="0024213D"/>
    <w:rsid w:val="0032550F"/>
    <w:rsid w:val="003534FF"/>
    <w:rsid w:val="00566999"/>
    <w:rsid w:val="005713EF"/>
    <w:rsid w:val="005748AA"/>
    <w:rsid w:val="00597722"/>
    <w:rsid w:val="005A6299"/>
    <w:rsid w:val="005C440C"/>
    <w:rsid w:val="005E5FB7"/>
    <w:rsid w:val="00613305"/>
    <w:rsid w:val="00651697"/>
    <w:rsid w:val="007243AC"/>
    <w:rsid w:val="00781A85"/>
    <w:rsid w:val="007E620F"/>
    <w:rsid w:val="00865307"/>
    <w:rsid w:val="008660FE"/>
    <w:rsid w:val="008D5615"/>
    <w:rsid w:val="008F340E"/>
    <w:rsid w:val="009113DA"/>
    <w:rsid w:val="00931153"/>
    <w:rsid w:val="009316DD"/>
    <w:rsid w:val="00AC7C4A"/>
    <w:rsid w:val="00AE4851"/>
    <w:rsid w:val="00B15810"/>
    <w:rsid w:val="00B5210D"/>
    <w:rsid w:val="00B76EE1"/>
    <w:rsid w:val="00C64CDB"/>
    <w:rsid w:val="00C84F17"/>
    <w:rsid w:val="00CF78D4"/>
    <w:rsid w:val="00D17B81"/>
    <w:rsid w:val="00E55623"/>
    <w:rsid w:val="00F51263"/>
    <w:rsid w:val="00FD345A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1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391"/>
    <w:pPr>
      <w:tabs>
        <w:tab w:val="center" w:pos="4153"/>
        <w:tab w:val="right" w:pos="8306"/>
      </w:tabs>
      <w:snapToGrid w:val="0"/>
      <w:spacing w:line="420" w:lineRule="exac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6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391"/>
    <w:pPr>
      <w:tabs>
        <w:tab w:val="center" w:pos="4153"/>
        <w:tab w:val="right" w:pos="8306"/>
      </w:tabs>
      <w:snapToGrid w:val="0"/>
      <w:spacing w:line="420" w:lineRule="exac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39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56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56391"/>
    <w:rPr>
      <w:rFonts w:ascii="細明體" w:eastAsia="細明體" w:hAnsi="細明體" w:cs="細明體"/>
      <w:color w:val="333333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27</cp:revision>
  <cp:lastPrinted>2014-10-29T03:16:00Z</cp:lastPrinted>
  <dcterms:created xsi:type="dcterms:W3CDTF">2014-10-24T09:32:00Z</dcterms:created>
  <dcterms:modified xsi:type="dcterms:W3CDTF">2015-01-08T09:22:00Z</dcterms:modified>
</cp:coreProperties>
</file>