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36" w:rsidRPr="0087297A" w:rsidRDefault="00BF5986">
      <w:pPr>
        <w:adjustRightInd w:val="0"/>
        <w:snapToGrid w:val="0"/>
        <w:spacing w:after="120"/>
        <w:jc w:val="center"/>
        <w:rPr>
          <w:rFonts w:ascii="標楷體" w:eastAsia="標楷體" w:hAnsi="標楷體"/>
          <w:color w:val="000000"/>
          <w:spacing w:val="-40"/>
          <w:sz w:val="32"/>
          <w:szCs w:val="32"/>
        </w:rPr>
      </w:pPr>
      <w:r w:rsidRPr="003F3E56">
        <w:rPr>
          <w:rFonts w:ascii="標楷體" w:eastAsia="標楷體" w:hAnsi="標楷體" w:hint="eastAsia"/>
          <w:color w:val="000000"/>
          <w:spacing w:val="-40"/>
          <w:sz w:val="32"/>
          <w:szCs w:val="32"/>
        </w:rPr>
        <w:t>臺</w:t>
      </w:r>
      <w:r w:rsidRPr="0087297A">
        <w:rPr>
          <w:rFonts w:ascii="標楷體" w:eastAsia="標楷體" w:hAnsi="標楷體" w:hint="eastAsia"/>
          <w:color w:val="000000"/>
          <w:spacing w:val="-40"/>
          <w:sz w:val="32"/>
          <w:szCs w:val="32"/>
        </w:rPr>
        <w:t>灣證券交易所股份有限公司證券經紀商受託契約準則</w:t>
      </w:r>
    </w:p>
    <w:p w:rsidR="00BF5986" w:rsidRPr="003F3E56" w:rsidRDefault="00334436">
      <w:pPr>
        <w:adjustRightInd w:val="0"/>
        <w:snapToGrid w:val="0"/>
        <w:spacing w:after="120"/>
        <w:jc w:val="center"/>
        <w:rPr>
          <w:rFonts w:ascii="標楷體" w:eastAsia="標楷體" w:hAnsi="標楷體"/>
          <w:color w:val="000000"/>
          <w:spacing w:val="-40"/>
          <w:sz w:val="36"/>
          <w:szCs w:val="36"/>
        </w:rPr>
      </w:pPr>
      <w:r w:rsidRPr="0087297A">
        <w:rPr>
          <w:rFonts w:ascii="標楷體" w:eastAsia="標楷體" w:hAnsi="標楷體" w:hint="eastAsia"/>
          <w:bCs/>
          <w:color w:val="000000"/>
          <w:sz w:val="32"/>
          <w:szCs w:val="32"/>
        </w:rPr>
        <w:t>第</w:t>
      </w:r>
      <w:r w:rsidR="0087297A" w:rsidRPr="0087297A">
        <w:rPr>
          <w:rFonts w:ascii="標楷體" w:eastAsia="標楷體" w:hAnsi="標楷體" w:hint="eastAsia"/>
          <w:bCs/>
          <w:color w:val="000000"/>
          <w:sz w:val="32"/>
          <w:szCs w:val="32"/>
        </w:rPr>
        <w:t>二條、第</w:t>
      </w:r>
      <w:r w:rsidR="0098281C" w:rsidRPr="0087297A">
        <w:rPr>
          <w:rFonts w:ascii="標楷體" w:eastAsia="標楷體" w:hAnsi="標楷體" w:hint="eastAsia"/>
          <w:bCs/>
          <w:color w:val="000000"/>
          <w:sz w:val="32"/>
          <w:szCs w:val="32"/>
        </w:rPr>
        <w:t>三</w:t>
      </w:r>
      <w:r w:rsidRPr="0087297A">
        <w:rPr>
          <w:rFonts w:ascii="標楷體" w:eastAsia="標楷體" w:hAnsi="標楷體" w:hint="eastAsia"/>
          <w:bCs/>
          <w:color w:val="000000"/>
          <w:sz w:val="32"/>
          <w:szCs w:val="32"/>
        </w:rPr>
        <w:t>條</w:t>
      </w:r>
      <w:r w:rsidR="0098281C" w:rsidRPr="0087297A">
        <w:rPr>
          <w:rFonts w:ascii="標楷體" w:eastAsia="標楷體" w:hAnsi="標楷體" w:hint="eastAsia"/>
          <w:bCs/>
          <w:color w:val="000000"/>
          <w:sz w:val="32"/>
          <w:szCs w:val="32"/>
        </w:rPr>
        <w:t>及第十八條</w:t>
      </w:r>
      <w:r w:rsidR="00BF5986" w:rsidRPr="0087297A">
        <w:rPr>
          <w:rFonts w:ascii="標楷體" w:eastAsia="標楷體" w:hAnsi="標楷體" w:hint="eastAsia"/>
          <w:color w:val="000000"/>
          <w:spacing w:val="-40"/>
          <w:sz w:val="32"/>
          <w:szCs w:val="32"/>
        </w:rPr>
        <w:t>修正條文對照表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38"/>
        <w:gridCol w:w="3039"/>
        <w:gridCol w:w="2285"/>
      </w:tblGrid>
      <w:tr w:rsidR="00BF5986" w:rsidRPr="003F3E56" w:rsidTr="00AB27CB">
        <w:trPr>
          <w:tblHeader/>
        </w:trPr>
        <w:tc>
          <w:tcPr>
            <w:tcW w:w="3767" w:type="dxa"/>
            <w:vAlign w:val="center"/>
          </w:tcPr>
          <w:p w:rsidR="00BF5986" w:rsidRPr="003F3E56" w:rsidRDefault="00BF59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F3E56">
              <w:rPr>
                <w:rFonts w:ascii="標楷體" w:eastAsia="標楷體" w:hAnsi="標楷體" w:hint="eastAsia"/>
                <w:color w:val="000000"/>
              </w:rPr>
              <w:t>修正條文</w:t>
            </w:r>
          </w:p>
        </w:tc>
        <w:tc>
          <w:tcPr>
            <w:tcW w:w="3768" w:type="dxa"/>
            <w:vAlign w:val="center"/>
          </w:tcPr>
          <w:p w:rsidR="00BF5986" w:rsidRPr="003F3E56" w:rsidRDefault="00BF59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F3E56">
              <w:rPr>
                <w:rFonts w:ascii="標楷體" w:eastAsia="標楷體" w:hAnsi="標楷體" w:hint="eastAsia"/>
                <w:color w:val="000000"/>
              </w:rPr>
              <w:t>現行條文</w:t>
            </w:r>
          </w:p>
        </w:tc>
        <w:tc>
          <w:tcPr>
            <w:tcW w:w="2725" w:type="dxa"/>
            <w:vAlign w:val="center"/>
          </w:tcPr>
          <w:p w:rsidR="00BF5986" w:rsidRPr="003F3E56" w:rsidRDefault="00BF59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F3E56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563EA4" w:rsidRPr="003F3E56" w:rsidTr="00AB27CB">
        <w:trPr>
          <w:tblHeader/>
        </w:trPr>
        <w:tc>
          <w:tcPr>
            <w:tcW w:w="3767" w:type="dxa"/>
          </w:tcPr>
          <w:p w:rsidR="00563EA4" w:rsidRDefault="00563EA4" w:rsidP="005F566A">
            <w:pPr>
              <w:pStyle w:val="HTML"/>
              <w:ind w:left="566" w:hangingChars="236" w:hanging="566"/>
              <w:rPr>
                <w:rFonts w:ascii="標楷體" w:eastAsia="標楷體" w:hAnsi="標楷體"/>
                <w:color w:val="000000"/>
              </w:rPr>
            </w:pPr>
            <w:r w:rsidRPr="003F3E56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3F3E56">
              <w:rPr>
                <w:rFonts w:ascii="標楷體" w:eastAsia="標楷體" w:hAnsi="標楷體" w:hint="eastAsia"/>
                <w:color w:val="000000"/>
              </w:rPr>
              <w:t>條</w:t>
            </w:r>
          </w:p>
          <w:p w:rsidR="00563EA4" w:rsidRDefault="00563EA4" w:rsidP="00563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81AF6">
              <w:rPr>
                <w:rFonts w:ascii="標楷體" w:eastAsia="標楷體" w:hAnsi="標楷體" w:cs="細明體"/>
                <w:color w:val="000000" w:themeColor="text1"/>
              </w:rPr>
              <w:t>委託人有下列各款情事之一者，證券經紀商不得接受委託開戶，已開戶者</w:t>
            </w:r>
            <w:r w:rsidRPr="00481AF6">
              <w:rPr>
                <w:rFonts w:ascii="標楷體" w:eastAsia="標楷體" w:hAnsi="標楷體" w:cs="新細明體"/>
                <w:color w:val="000000" w:themeColor="text1"/>
              </w:rPr>
              <w:t>應拒絕接受委託買賣或申購有價證券：</w:t>
            </w:r>
          </w:p>
          <w:p w:rsidR="00563EA4" w:rsidRPr="00481AF6" w:rsidRDefault="00563EA4" w:rsidP="00AB27CB">
            <w:pPr>
              <w:pStyle w:val="HTML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81AF6">
              <w:rPr>
                <w:rFonts w:ascii="標楷體" w:eastAsia="標楷體" w:hAnsi="標楷體"/>
                <w:color w:val="000000" w:themeColor="text1"/>
              </w:rPr>
              <w:t>一、無行為能力人或限制行為能力人未經法定代理人之代理者。</w:t>
            </w:r>
          </w:p>
          <w:p w:rsidR="00563EA4" w:rsidRDefault="00563EA4" w:rsidP="00AB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721682" w:rsidRPr="000A461E">
              <w:rPr>
                <w:rFonts w:ascii="標楷體" w:eastAsia="標楷體" w:hAnsi="標楷體"/>
              </w:rPr>
              <w:t>主管機關</w:t>
            </w:r>
            <w:r w:rsidR="00721682" w:rsidRPr="00AE49EF">
              <w:rPr>
                <w:rFonts w:ascii="標楷體" w:eastAsia="標楷體" w:hAnsi="標楷體" w:hint="eastAsia"/>
                <w:u w:val="single"/>
              </w:rPr>
              <w:t>之</w:t>
            </w:r>
            <w:r w:rsidR="00721682" w:rsidRPr="00AE49EF">
              <w:rPr>
                <w:rFonts w:ascii="標楷體" w:eastAsia="標楷體" w:hAnsi="標楷體"/>
                <w:u w:val="single"/>
              </w:rPr>
              <w:t>證券</w:t>
            </w:r>
            <w:r w:rsidR="00721682" w:rsidRPr="00AE49EF">
              <w:rPr>
                <w:rFonts w:ascii="標楷體" w:eastAsia="標楷體" w:hAnsi="標楷體" w:hint="eastAsia"/>
                <w:u w:val="single"/>
              </w:rPr>
              <w:t>期貨局員工</w:t>
            </w:r>
            <w:r w:rsidR="00721682" w:rsidRPr="003D15E1">
              <w:rPr>
                <w:rFonts w:ascii="標楷體" w:eastAsia="標楷體" w:hAnsi="標楷體"/>
                <w:u w:val="single"/>
              </w:rPr>
              <w:t>未檢具</w:t>
            </w:r>
            <w:r w:rsidR="00721682">
              <w:rPr>
                <w:rFonts w:ascii="標楷體" w:eastAsia="標楷體" w:hAnsi="標楷體" w:hint="eastAsia"/>
                <w:u w:val="single"/>
              </w:rPr>
              <w:t>其</w:t>
            </w:r>
            <w:r w:rsidR="00721682" w:rsidRPr="003D15E1">
              <w:rPr>
                <w:rFonts w:ascii="標楷體" w:eastAsia="標楷體" w:hAnsi="標楷體"/>
                <w:u w:val="single"/>
              </w:rPr>
              <w:t>機關同意書者</w:t>
            </w:r>
            <w:r w:rsidRPr="00F31E78">
              <w:rPr>
                <w:rFonts w:ascii="標楷體" w:eastAsia="標楷體" w:hAnsi="標楷體"/>
              </w:rPr>
              <w:t>。</w:t>
            </w:r>
          </w:p>
          <w:p w:rsidR="00AB27CB" w:rsidRPr="00563EA4" w:rsidRDefault="00AB27CB" w:rsidP="00AB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421944" w:rsidRPr="003F3E56">
              <w:rPr>
                <w:rFonts w:ascii="標楷體" w:eastAsia="標楷體" w:hAnsi="標楷體" w:hint="eastAsia"/>
                <w:color w:val="000000"/>
              </w:rPr>
              <w:t>以下</w:t>
            </w:r>
            <w:r w:rsidR="00421944">
              <w:rPr>
                <w:rFonts w:ascii="標楷體" w:eastAsia="標楷體" w:hAnsi="標楷體" w:hint="eastAsia"/>
                <w:color w:val="000000"/>
              </w:rPr>
              <w:t>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768" w:type="dxa"/>
          </w:tcPr>
          <w:p w:rsidR="00563EA4" w:rsidRDefault="00563EA4" w:rsidP="00563EA4">
            <w:pPr>
              <w:pStyle w:val="HTML"/>
              <w:ind w:left="566" w:hangingChars="236" w:hanging="566"/>
              <w:rPr>
                <w:rFonts w:ascii="標楷體" w:eastAsia="標楷體" w:hAnsi="標楷體"/>
                <w:color w:val="000000"/>
              </w:rPr>
            </w:pPr>
            <w:r w:rsidRPr="003F3E56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3F3E56">
              <w:rPr>
                <w:rFonts w:ascii="標楷體" w:eastAsia="標楷體" w:hAnsi="標楷體" w:hint="eastAsia"/>
                <w:color w:val="000000"/>
              </w:rPr>
              <w:t>條</w:t>
            </w:r>
          </w:p>
          <w:p w:rsidR="00563EA4" w:rsidRPr="00563EA4" w:rsidRDefault="00563EA4" w:rsidP="00563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481AF6">
              <w:rPr>
                <w:rFonts w:ascii="標楷體" w:eastAsia="標楷體" w:hAnsi="標楷體" w:cs="細明體"/>
                <w:color w:val="000000" w:themeColor="text1"/>
              </w:rPr>
              <w:t>委託人有下列各款情事之一者，證券經紀商不得接受委託開戶，已開戶者</w:t>
            </w:r>
            <w:r w:rsidRPr="00481AF6">
              <w:rPr>
                <w:rFonts w:ascii="標楷體" w:eastAsia="標楷體" w:hAnsi="標楷體" w:cs="新細明體"/>
                <w:color w:val="000000" w:themeColor="text1"/>
              </w:rPr>
              <w:t>應拒絕接受委託買賣或申購有價證券：</w:t>
            </w:r>
          </w:p>
          <w:p w:rsidR="00563EA4" w:rsidRPr="00481AF6" w:rsidRDefault="00563EA4" w:rsidP="00AB27CB">
            <w:pPr>
              <w:pStyle w:val="HTML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81AF6">
              <w:rPr>
                <w:rFonts w:ascii="標楷體" w:eastAsia="標楷體" w:hAnsi="標楷體"/>
                <w:color w:val="000000" w:themeColor="text1"/>
              </w:rPr>
              <w:t>一、無行為能力人或限制行為能力人未經法定代理人之代理者。</w:t>
            </w:r>
          </w:p>
          <w:p w:rsidR="00563EA4" w:rsidRDefault="00563EA4" w:rsidP="00AB27CB">
            <w:pPr>
              <w:pStyle w:val="HTML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81AF6">
              <w:rPr>
                <w:rFonts w:ascii="標楷體" w:eastAsia="標楷體" w:hAnsi="標楷體"/>
                <w:color w:val="000000" w:themeColor="text1"/>
              </w:rPr>
              <w:t>二、</w:t>
            </w:r>
            <w:r w:rsidRPr="00E24076">
              <w:rPr>
                <w:rFonts w:ascii="標楷體" w:eastAsia="標楷體" w:hAnsi="標楷體"/>
                <w:color w:val="000000" w:themeColor="text1"/>
                <w:u w:val="single"/>
              </w:rPr>
              <w:t>證券</w:t>
            </w:r>
            <w:r w:rsidRPr="00481AF6">
              <w:rPr>
                <w:rFonts w:ascii="標楷體" w:eastAsia="標楷體" w:hAnsi="標楷體"/>
                <w:color w:val="000000" w:themeColor="text1"/>
              </w:rPr>
              <w:t>主管機關</w:t>
            </w:r>
            <w:r w:rsidRPr="00E24076">
              <w:rPr>
                <w:rFonts w:ascii="標楷體" w:eastAsia="標楷體" w:hAnsi="標楷體"/>
                <w:color w:val="000000" w:themeColor="text1"/>
                <w:u w:val="single"/>
              </w:rPr>
              <w:t>職員雇員</w:t>
            </w:r>
            <w:r w:rsidRPr="00481AF6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AB27CB" w:rsidRDefault="00AB27CB" w:rsidP="00AB27CB">
            <w:pPr>
              <w:pStyle w:val="HTML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63EA4" w:rsidRPr="00563EA4" w:rsidRDefault="00563EA4" w:rsidP="00563EA4">
            <w:pPr>
              <w:pStyle w:val="HTML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 w:rsidR="00421944" w:rsidRPr="003F3E56">
              <w:rPr>
                <w:rFonts w:ascii="標楷體" w:eastAsia="標楷體" w:hAnsi="標楷體" w:hint="eastAsia"/>
                <w:color w:val="000000"/>
              </w:rPr>
              <w:t>以下</w:t>
            </w:r>
            <w:r w:rsidR="00421944">
              <w:rPr>
                <w:rFonts w:ascii="標楷體" w:eastAsia="標楷體" w:hAnsi="標楷體" w:hint="eastAsia"/>
                <w:color w:val="000000"/>
              </w:rPr>
              <w:t>略</w:t>
            </w:r>
            <w:r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2725" w:type="dxa"/>
          </w:tcPr>
          <w:p w:rsidR="00563EA4" w:rsidRPr="003F3E56" w:rsidRDefault="00DC6F4F" w:rsidP="001F37B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配合</w:t>
            </w:r>
            <w:r w:rsidR="00085F5D" w:rsidRPr="00B40D15">
              <w:rPr>
                <w:rFonts w:ascii="標楷體" w:eastAsia="標楷體" w:hAnsi="標楷體" w:cs="細明體" w:hint="eastAsia"/>
                <w:color w:val="000000" w:themeColor="text1"/>
              </w:rPr>
              <w:t>金融監督管理委員會證</w:t>
            </w:r>
            <w:r w:rsidR="00085F5D">
              <w:rPr>
                <w:rFonts w:ascii="標楷體" w:eastAsia="標楷體" w:hAnsi="標楷體" w:cs="細明體" w:hint="eastAsia"/>
                <w:color w:val="000000" w:themeColor="text1"/>
              </w:rPr>
              <w:t>券</w:t>
            </w:r>
            <w:r w:rsidR="00085F5D" w:rsidRPr="00B40D15">
              <w:rPr>
                <w:rFonts w:ascii="標楷體" w:eastAsia="標楷體" w:hAnsi="標楷體" w:cs="細明體" w:hint="eastAsia"/>
                <w:color w:val="000000" w:themeColor="text1"/>
              </w:rPr>
              <w:t>期</w:t>
            </w:r>
            <w:r w:rsidR="00085F5D">
              <w:rPr>
                <w:rFonts w:ascii="標楷體" w:eastAsia="標楷體" w:hAnsi="標楷體" w:cs="細明體" w:hint="eastAsia"/>
                <w:color w:val="000000" w:themeColor="text1"/>
              </w:rPr>
              <w:t>貨</w:t>
            </w:r>
            <w:r w:rsidR="00085F5D" w:rsidRPr="00B40D15">
              <w:rPr>
                <w:rFonts w:ascii="標楷體" w:eastAsia="標楷體" w:hAnsi="標楷體" w:cs="細明體" w:hint="eastAsia"/>
                <w:color w:val="000000" w:themeColor="text1"/>
              </w:rPr>
              <w:t>局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放寬其自律規範限制員工購買股票及其他金融商品範圍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修正本條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第一項第二款規定</w:t>
            </w:r>
            <w:r w:rsidR="00563EA4">
              <w:rPr>
                <w:rFonts w:ascii="標楷體" w:eastAsia="標楷體" w:hAnsi="標楷體" w:cs="新細明體" w:hint="eastAsia"/>
                <w:color w:val="000000"/>
              </w:rPr>
              <w:t>。</w:t>
            </w:r>
          </w:p>
        </w:tc>
      </w:tr>
      <w:tr w:rsidR="00090485" w:rsidRPr="003F3E56" w:rsidTr="00AB27CB">
        <w:trPr>
          <w:tblHeader/>
        </w:trPr>
        <w:tc>
          <w:tcPr>
            <w:tcW w:w="3767" w:type="dxa"/>
          </w:tcPr>
          <w:p w:rsidR="00090485" w:rsidRPr="003F3E56" w:rsidRDefault="00090485" w:rsidP="005F566A">
            <w:pPr>
              <w:pStyle w:val="HTML"/>
              <w:ind w:left="566" w:hangingChars="236" w:hanging="566"/>
              <w:rPr>
                <w:rFonts w:ascii="標楷體" w:eastAsia="標楷體" w:hAnsi="標楷體"/>
                <w:color w:val="000000"/>
              </w:rPr>
            </w:pPr>
            <w:r w:rsidRPr="003F3E56">
              <w:rPr>
                <w:rFonts w:ascii="標楷體" w:eastAsia="標楷體" w:hAnsi="標楷體" w:hint="eastAsia"/>
                <w:color w:val="000000"/>
              </w:rPr>
              <w:t xml:space="preserve">第三條  </w:t>
            </w:r>
          </w:p>
          <w:p w:rsidR="00090485" w:rsidRPr="003F3E56" w:rsidRDefault="00090485" w:rsidP="005F5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</w:rPr>
            </w:pPr>
            <w:r w:rsidRPr="003F3E56">
              <w:rPr>
                <w:rFonts w:ascii="標楷體" w:eastAsia="標楷體" w:hAnsi="標楷體" w:hint="eastAsia"/>
                <w:color w:val="000000"/>
              </w:rPr>
              <w:t>（</w:t>
            </w:r>
            <w:r w:rsidR="00421944" w:rsidRPr="003F3E56">
              <w:rPr>
                <w:rFonts w:ascii="標楷體" w:eastAsia="標楷體" w:hAnsi="標楷體" w:hint="eastAsia"/>
                <w:color w:val="000000"/>
              </w:rPr>
              <w:t>第一項至第二項</w:t>
            </w:r>
            <w:r w:rsidR="00421944">
              <w:rPr>
                <w:rFonts w:ascii="標楷體" w:eastAsia="標楷體" w:hAnsi="標楷體" w:hint="eastAsia"/>
                <w:color w:val="000000"/>
              </w:rPr>
              <w:t>略</w:t>
            </w:r>
            <w:r w:rsidRPr="003F3E56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090485" w:rsidRPr="003F3E56" w:rsidRDefault="00090485" w:rsidP="00DF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3F3E56">
              <w:rPr>
                <w:rFonts w:ascii="標楷體" w:eastAsia="標楷體" w:hAnsi="標楷體" w:cs="細明體"/>
                <w:color w:val="000000"/>
              </w:rPr>
              <w:t>受託契約應</w:t>
            </w:r>
            <w:r w:rsidR="001309E1" w:rsidRPr="001309E1">
              <w:rPr>
                <w:rFonts w:ascii="標楷體" w:eastAsia="標楷體" w:hAnsi="標楷體" w:cs="細明體"/>
                <w:color w:val="000000"/>
                <w:u w:val="single"/>
              </w:rPr>
              <w:t>以</w:t>
            </w:r>
            <w:r w:rsidR="001309E1" w:rsidRPr="001309E1">
              <w:rPr>
                <w:rFonts w:ascii="標楷體" w:eastAsia="標楷體" w:hAnsi="標楷體" w:cs="細明體" w:hint="eastAsia"/>
                <w:color w:val="000000"/>
                <w:u w:val="single"/>
              </w:rPr>
              <w:t>本準則、本公司營業細則、公告、通函及證券商業同業公會規約等</w:t>
            </w:r>
            <w:r w:rsidR="001309E1" w:rsidRPr="001309E1">
              <w:rPr>
                <w:rFonts w:ascii="標楷體" w:eastAsia="標楷體" w:hAnsi="標楷體" w:cs="新細明體"/>
                <w:color w:val="000000"/>
                <w:u w:val="single"/>
              </w:rPr>
              <w:t>為契約之一部</w:t>
            </w:r>
            <w:r w:rsidR="001309E1" w:rsidRPr="001309E1">
              <w:rPr>
                <w:rFonts w:ascii="標楷體" w:eastAsia="標楷體" w:hAnsi="標楷體" w:cs="新細明體" w:hint="eastAsia"/>
                <w:color w:val="000000"/>
                <w:u w:val="single"/>
              </w:rPr>
              <w:t>分</w:t>
            </w:r>
            <w:r w:rsidRPr="003F3E56">
              <w:rPr>
                <w:rFonts w:ascii="標楷體" w:eastAsia="標楷體" w:hAnsi="標楷體" w:cs="新細明體"/>
                <w:color w:val="000000"/>
              </w:rPr>
              <w:t>，並載明下列事項：</w:t>
            </w:r>
          </w:p>
          <w:p w:rsidR="00090485" w:rsidRPr="003F3E56" w:rsidRDefault="00090485" w:rsidP="00AB27CB">
            <w:pPr>
              <w:pStyle w:val="HTML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F3E56">
              <w:rPr>
                <w:rFonts w:ascii="標楷體" w:eastAsia="標楷體" w:hAnsi="標楷體" w:hint="eastAsia"/>
                <w:color w:val="000000"/>
              </w:rPr>
              <w:t>（</w:t>
            </w:r>
            <w:r w:rsidR="00421944" w:rsidRPr="003F3E56">
              <w:rPr>
                <w:rFonts w:ascii="標楷體" w:eastAsia="標楷體" w:hAnsi="標楷體" w:hint="eastAsia"/>
                <w:color w:val="000000"/>
              </w:rPr>
              <w:t>以下</w:t>
            </w:r>
            <w:r w:rsidR="00421944">
              <w:rPr>
                <w:rFonts w:ascii="標楷體" w:eastAsia="標楷體" w:hAnsi="標楷體" w:hint="eastAsia"/>
                <w:color w:val="000000"/>
              </w:rPr>
              <w:t>略</w:t>
            </w:r>
            <w:r w:rsidRPr="003F3E56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3768" w:type="dxa"/>
          </w:tcPr>
          <w:p w:rsidR="00090485" w:rsidRPr="003F3E56" w:rsidRDefault="00090485" w:rsidP="005F566A">
            <w:pPr>
              <w:pStyle w:val="HTML"/>
              <w:ind w:left="566" w:hangingChars="236" w:hanging="566"/>
              <w:rPr>
                <w:rFonts w:ascii="標楷體" w:eastAsia="標楷體" w:hAnsi="標楷體"/>
                <w:color w:val="000000"/>
              </w:rPr>
            </w:pPr>
            <w:r w:rsidRPr="003F3E56">
              <w:rPr>
                <w:rFonts w:ascii="標楷體" w:eastAsia="標楷體" w:hAnsi="標楷體" w:hint="eastAsia"/>
                <w:color w:val="000000"/>
              </w:rPr>
              <w:t xml:space="preserve">第三條  </w:t>
            </w:r>
          </w:p>
          <w:p w:rsidR="00090485" w:rsidRPr="003F3E56" w:rsidRDefault="00090485" w:rsidP="005F5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</w:rPr>
            </w:pPr>
            <w:r w:rsidRPr="003F3E56">
              <w:rPr>
                <w:rFonts w:ascii="標楷體" w:eastAsia="標楷體" w:hAnsi="標楷體" w:hint="eastAsia"/>
                <w:color w:val="000000"/>
              </w:rPr>
              <w:t>（第一項至第二項</w:t>
            </w:r>
            <w:r w:rsidR="00DF6CF2">
              <w:rPr>
                <w:rFonts w:ascii="標楷體" w:eastAsia="標楷體" w:hAnsi="標楷體" w:hint="eastAsia"/>
                <w:color w:val="000000"/>
              </w:rPr>
              <w:t>略</w:t>
            </w:r>
            <w:r w:rsidRPr="003F3E56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090485" w:rsidRPr="003F3E56" w:rsidRDefault="00090485" w:rsidP="00DF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3F3E56">
              <w:rPr>
                <w:rFonts w:ascii="標楷體" w:eastAsia="標楷體" w:hAnsi="標楷體" w:cs="細明體"/>
                <w:color w:val="000000"/>
              </w:rPr>
              <w:t>受託契約應以證券交易所</w:t>
            </w:r>
            <w:r w:rsidRPr="003F3E56">
              <w:rPr>
                <w:rFonts w:ascii="標楷體" w:eastAsia="標楷體" w:hAnsi="標楷體" w:cs="細明體"/>
                <w:color w:val="000000"/>
                <w:u w:val="single"/>
              </w:rPr>
              <w:t>章程、</w:t>
            </w:r>
            <w:r w:rsidRPr="003F3E56">
              <w:rPr>
                <w:rFonts w:ascii="標楷體" w:eastAsia="標楷體" w:hAnsi="標楷體" w:cs="細明體"/>
                <w:color w:val="000000"/>
              </w:rPr>
              <w:t>營業細則、公告、通函、證券商業同業公</w:t>
            </w:r>
            <w:r w:rsidRPr="003F3E56">
              <w:rPr>
                <w:rFonts w:ascii="標楷體" w:eastAsia="標楷體" w:hAnsi="標楷體" w:cs="新細明體"/>
                <w:color w:val="000000"/>
              </w:rPr>
              <w:t>會規約及本契約準則，為其契約之一部，並載明下列事項：</w:t>
            </w:r>
          </w:p>
          <w:p w:rsidR="00090485" w:rsidRPr="003F3E56" w:rsidRDefault="00090485" w:rsidP="00DF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/>
              </w:rPr>
            </w:pPr>
            <w:r w:rsidRPr="003F3E56">
              <w:rPr>
                <w:rFonts w:ascii="標楷體" w:eastAsia="標楷體" w:hAnsi="標楷體" w:hint="eastAsia"/>
                <w:color w:val="000000"/>
              </w:rPr>
              <w:t>（以下</w:t>
            </w:r>
            <w:r w:rsidR="00DF6CF2">
              <w:rPr>
                <w:rFonts w:ascii="標楷體" w:eastAsia="標楷體" w:hAnsi="標楷體" w:hint="eastAsia"/>
                <w:color w:val="000000"/>
              </w:rPr>
              <w:t>略</w:t>
            </w:r>
            <w:r w:rsidRPr="003F3E56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725" w:type="dxa"/>
          </w:tcPr>
          <w:p w:rsidR="001309E1" w:rsidRPr="001309E1" w:rsidRDefault="001309E1" w:rsidP="001309E1">
            <w:pPr>
              <w:pStyle w:val="ae"/>
              <w:numPr>
                <w:ilvl w:val="0"/>
                <w:numId w:val="24"/>
              </w:numPr>
              <w:ind w:leftChars="0"/>
              <w:jc w:val="both"/>
              <w:rPr>
                <w:color w:val="000000"/>
              </w:rPr>
            </w:pPr>
            <w:r w:rsidRPr="001309E1">
              <w:rPr>
                <w:rFonts w:ascii="標楷體" w:eastAsia="標楷體" w:hAnsi="標楷體" w:hint="eastAsia"/>
                <w:color w:val="000000"/>
              </w:rPr>
              <w:t>本公司章程已刪除第七章本公司集中交易市場之證券商(第三十一條至三十八條)，將證券商與本公司間之權利義務，回歸供給使用有價證券集中交易市場契約及相關管理章則，</w:t>
            </w:r>
            <w:proofErr w:type="gramStart"/>
            <w:r w:rsidRPr="001309E1">
              <w:rPr>
                <w:rFonts w:ascii="標楷體" w:eastAsia="標楷體" w:hAnsi="標楷體" w:hint="eastAsia"/>
                <w:color w:val="000000"/>
              </w:rPr>
              <w:t>爰</w:t>
            </w:r>
            <w:proofErr w:type="gramEnd"/>
            <w:r w:rsidRPr="001309E1">
              <w:rPr>
                <w:rFonts w:ascii="標楷體" w:eastAsia="標楷體" w:hAnsi="標楷體" w:hint="eastAsia"/>
                <w:color w:val="000000"/>
              </w:rPr>
              <w:t>配合修正。</w:t>
            </w:r>
          </w:p>
          <w:p w:rsidR="001309E1" w:rsidRPr="001309E1" w:rsidRDefault="00FE47B6" w:rsidP="001309E1">
            <w:pPr>
              <w:pStyle w:val="ae"/>
              <w:numPr>
                <w:ilvl w:val="0"/>
                <w:numId w:val="24"/>
              </w:numPr>
              <w:ind w:leftChars="0"/>
              <w:jc w:val="both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調整條文體例</w:t>
            </w:r>
            <w:r w:rsidR="006728AB">
              <w:rPr>
                <w:rFonts w:ascii="標楷體" w:eastAsia="標楷體" w:hAnsi="標楷體" w:hint="eastAsia"/>
                <w:color w:val="000000"/>
              </w:rPr>
              <w:t>用語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090485" w:rsidRPr="003F3E56" w:rsidTr="00AB27CB">
        <w:trPr>
          <w:trHeight w:val="4577"/>
          <w:tblHeader/>
        </w:trPr>
        <w:tc>
          <w:tcPr>
            <w:tcW w:w="3767" w:type="dxa"/>
          </w:tcPr>
          <w:p w:rsidR="00090485" w:rsidRPr="003F3E56" w:rsidRDefault="00090485" w:rsidP="00875987">
            <w:pPr>
              <w:pStyle w:val="HTML"/>
              <w:ind w:left="566" w:hangingChars="236" w:hanging="566"/>
              <w:rPr>
                <w:rFonts w:ascii="標楷體" w:eastAsia="標楷體" w:hAnsi="標楷體"/>
                <w:color w:val="000000"/>
              </w:rPr>
            </w:pPr>
            <w:r w:rsidRPr="003F3E56">
              <w:rPr>
                <w:rFonts w:ascii="標楷體" w:eastAsia="標楷體" w:hAnsi="標楷體" w:hint="eastAsia"/>
                <w:color w:val="000000"/>
              </w:rPr>
              <w:lastRenderedPageBreak/>
              <w:t xml:space="preserve">第十八條  </w:t>
            </w:r>
          </w:p>
          <w:p w:rsidR="00090485" w:rsidRPr="003F3E56" w:rsidRDefault="00090485" w:rsidP="005948C2">
            <w:pPr>
              <w:pStyle w:val="HTML"/>
              <w:jc w:val="both"/>
              <w:rPr>
                <w:rFonts w:ascii="標楷體" w:eastAsia="標楷體" w:hAnsi="標楷體"/>
                <w:color w:val="000000"/>
              </w:rPr>
            </w:pPr>
            <w:r w:rsidRPr="003F3E56">
              <w:rPr>
                <w:rFonts w:ascii="標楷體" w:eastAsia="標楷體" w:hAnsi="標楷體"/>
                <w:color w:val="000000"/>
              </w:rPr>
              <w:t>證券經紀商於受託買賣時</w:t>
            </w:r>
            <w:r w:rsidR="00AB7572">
              <w:rPr>
                <w:rFonts w:ascii="標楷體" w:eastAsia="標楷體" w:hAnsi="標楷體" w:hint="eastAsia"/>
                <w:color w:val="000000"/>
              </w:rPr>
              <w:t>，</w:t>
            </w:r>
            <w:r w:rsidRPr="003F3E56">
              <w:rPr>
                <w:rFonts w:ascii="標楷體" w:eastAsia="標楷體" w:hAnsi="標楷體"/>
                <w:color w:val="000000"/>
              </w:rPr>
              <w:t>違反</w:t>
            </w:r>
            <w:r w:rsidR="001309E1" w:rsidRPr="001309E1">
              <w:rPr>
                <w:rFonts w:ascii="標楷體" w:eastAsia="標楷體" w:hAnsi="標楷體" w:hint="eastAsia"/>
                <w:color w:val="000000"/>
                <w:u w:val="single"/>
              </w:rPr>
              <w:t>本公司</w:t>
            </w:r>
            <w:r w:rsidRPr="003F3E56">
              <w:rPr>
                <w:rFonts w:ascii="標楷體" w:eastAsia="標楷體" w:hAnsi="標楷體"/>
                <w:color w:val="000000"/>
              </w:rPr>
              <w:t>營業細則或公告有關規定者，視為違背受託契約，委託人（代理人）</w:t>
            </w:r>
            <w:r w:rsidR="001309E1" w:rsidRPr="001309E1">
              <w:rPr>
                <w:rFonts w:ascii="標楷體" w:eastAsia="標楷體" w:hAnsi="標楷體"/>
                <w:color w:val="000000"/>
                <w:u w:val="single"/>
              </w:rPr>
              <w:t>書面報告</w:t>
            </w:r>
            <w:r w:rsidR="001309E1" w:rsidRPr="001309E1">
              <w:rPr>
                <w:rFonts w:ascii="標楷體" w:eastAsia="標楷體" w:hAnsi="標楷體" w:hint="eastAsia"/>
                <w:color w:val="000000"/>
                <w:u w:val="single"/>
              </w:rPr>
              <w:t>本公司時，本公司得</w:t>
            </w:r>
            <w:r w:rsidRPr="003F3E56">
              <w:rPr>
                <w:rFonts w:ascii="標楷體" w:eastAsia="標楷體" w:hAnsi="標楷體"/>
                <w:color w:val="000000"/>
              </w:rPr>
              <w:t>查明處理之。</w:t>
            </w:r>
          </w:p>
        </w:tc>
        <w:tc>
          <w:tcPr>
            <w:tcW w:w="3768" w:type="dxa"/>
          </w:tcPr>
          <w:p w:rsidR="00090485" w:rsidRPr="003F3E56" w:rsidRDefault="00090485" w:rsidP="00C751F7">
            <w:pPr>
              <w:pStyle w:val="HTML"/>
              <w:ind w:left="566" w:hangingChars="236" w:hanging="566"/>
              <w:rPr>
                <w:rFonts w:ascii="標楷體" w:eastAsia="標楷體" w:hAnsi="標楷體"/>
                <w:color w:val="000000"/>
              </w:rPr>
            </w:pPr>
            <w:r w:rsidRPr="003F3E56">
              <w:rPr>
                <w:rFonts w:ascii="標楷體" w:eastAsia="標楷體" w:hAnsi="標楷體" w:hint="eastAsia"/>
                <w:color w:val="000000"/>
              </w:rPr>
              <w:t xml:space="preserve">第十八條  </w:t>
            </w:r>
          </w:p>
          <w:p w:rsidR="00090485" w:rsidRPr="003F3E56" w:rsidRDefault="00090485" w:rsidP="00DF6CF2">
            <w:pPr>
              <w:pStyle w:val="HTML"/>
              <w:jc w:val="both"/>
              <w:rPr>
                <w:rFonts w:ascii="標楷體" w:eastAsia="標楷體" w:hAnsi="標楷體"/>
                <w:color w:val="000000"/>
              </w:rPr>
            </w:pPr>
            <w:r w:rsidRPr="003F3E56">
              <w:rPr>
                <w:rFonts w:ascii="標楷體" w:eastAsia="標楷體" w:hAnsi="標楷體"/>
                <w:color w:val="000000"/>
              </w:rPr>
              <w:t>證券經紀商於受託買賣時</w:t>
            </w:r>
            <w:r w:rsidR="001309E1" w:rsidRPr="001309E1">
              <w:rPr>
                <w:rFonts w:ascii="標楷體" w:eastAsia="標楷體" w:hAnsi="標楷體"/>
                <w:color w:val="000000"/>
                <w:u w:val="single"/>
              </w:rPr>
              <w:t>如有</w:t>
            </w:r>
            <w:r w:rsidRPr="003F3E56">
              <w:rPr>
                <w:rFonts w:ascii="標楷體" w:eastAsia="標楷體" w:hAnsi="標楷體"/>
                <w:color w:val="000000"/>
              </w:rPr>
              <w:t>違反證券交易所</w:t>
            </w:r>
            <w:r w:rsidRPr="003F3E56">
              <w:rPr>
                <w:rFonts w:ascii="標楷體" w:eastAsia="標楷體" w:hAnsi="標楷體"/>
                <w:color w:val="000000"/>
                <w:u w:val="single"/>
              </w:rPr>
              <w:t>章程或</w:t>
            </w:r>
            <w:r w:rsidRPr="003F3E56">
              <w:rPr>
                <w:rFonts w:ascii="標楷體" w:eastAsia="標楷體" w:hAnsi="標楷體"/>
                <w:color w:val="000000"/>
              </w:rPr>
              <w:t>營業細則或公告有關規定者，視為違背受託契約，委託人（代理人）應立即書面報告證券交易所查明處理之。</w:t>
            </w:r>
          </w:p>
        </w:tc>
        <w:tc>
          <w:tcPr>
            <w:tcW w:w="2725" w:type="dxa"/>
          </w:tcPr>
          <w:p w:rsidR="001309E1" w:rsidRPr="001309E1" w:rsidRDefault="005948C2" w:rsidP="001309E1">
            <w:pPr>
              <w:pStyle w:val="ae"/>
              <w:numPr>
                <w:ilvl w:val="0"/>
                <w:numId w:val="25"/>
              </w:numPr>
              <w:ind w:leftChars="0"/>
              <w:jc w:val="both"/>
              <w:rPr>
                <w:color w:val="000000"/>
              </w:rPr>
            </w:pPr>
            <w:r w:rsidRPr="00DF2CA7">
              <w:rPr>
                <w:rFonts w:ascii="標楷體" w:eastAsia="標楷體" w:hAnsi="標楷體" w:hint="eastAsia"/>
                <w:color w:val="000000"/>
              </w:rPr>
              <w:t>本公司章程已刪除第七章本公司集中交易市場之證券商(第三十一條至三十八條)，將證券商與本公司間之權利義務，回歸供給使用有價證券集中交易市場契約及相關管理章則，</w:t>
            </w:r>
            <w:proofErr w:type="gramStart"/>
            <w:r w:rsidRPr="00DF2CA7">
              <w:rPr>
                <w:rFonts w:ascii="標楷體" w:eastAsia="標楷體" w:hAnsi="標楷體" w:hint="eastAsia"/>
                <w:color w:val="000000"/>
              </w:rPr>
              <w:t>爰</w:t>
            </w:r>
            <w:proofErr w:type="gramEnd"/>
            <w:r w:rsidRPr="00DF2CA7">
              <w:rPr>
                <w:rFonts w:ascii="標楷體" w:eastAsia="標楷體" w:hAnsi="標楷體" w:hint="eastAsia"/>
                <w:color w:val="000000"/>
              </w:rPr>
              <w:t>配合修正。</w:t>
            </w:r>
          </w:p>
          <w:p w:rsidR="001309E1" w:rsidRPr="001309E1" w:rsidRDefault="005948C2" w:rsidP="001309E1">
            <w:pPr>
              <w:pStyle w:val="ae"/>
              <w:numPr>
                <w:ilvl w:val="0"/>
                <w:numId w:val="25"/>
              </w:numPr>
              <w:ind w:leftChars="0"/>
              <w:jc w:val="both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本準則</w:t>
            </w:r>
            <w:r w:rsidR="00621796">
              <w:rPr>
                <w:rFonts w:ascii="標楷體" w:eastAsia="標楷體" w:hAnsi="標楷體" w:hint="eastAsia"/>
                <w:color w:val="000000"/>
              </w:rPr>
              <w:t>係</w:t>
            </w:r>
            <w:r w:rsidR="00D90B05">
              <w:rPr>
                <w:rFonts w:ascii="標楷體" w:eastAsia="標楷體" w:hAnsi="標楷體" w:hint="eastAsia"/>
                <w:color w:val="000000"/>
              </w:rPr>
              <w:t>屬</w:t>
            </w:r>
            <w:r>
              <w:rPr>
                <w:rFonts w:ascii="標楷體" w:eastAsia="標楷體" w:hAnsi="標楷體" w:hint="eastAsia"/>
                <w:color w:val="000000"/>
              </w:rPr>
              <w:t>證券經紀商之規範，</w:t>
            </w:r>
            <w:proofErr w:type="gramStart"/>
            <w:r w:rsidR="00646655">
              <w:rPr>
                <w:rFonts w:ascii="標楷體" w:eastAsia="標楷體" w:hAnsi="標楷體" w:hint="eastAsia"/>
                <w:color w:val="000000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衡</w:t>
            </w:r>
            <w:r w:rsidR="00646655">
              <w:rPr>
                <w:rFonts w:ascii="標楷體" w:eastAsia="標楷體" w:hAnsi="標楷體" w:hint="eastAsia"/>
                <w:color w:val="000000"/>
              </w:rPr>
              <w:t>酌條文體例</w:t>
            </w:r>
            <w:r>
              <w:rPr>
                <w:rFonts w:ascii="標楷體" w:eastAsia="標楷體" w:hAnsi="標楷體" w:hint="eastAsia"/>
                <w:color w:val="000000"/>
              </w:rPr>
              <w:t>調整</w:t>
            </w:r>
            <w:r w:rsidR="00FA3736">
              <w:rPr>
                <w:rFonts w:ascii="標楷體" w:eastAsia="標楷體" w:hAnsi="標楷體" w:hint="eastAsia"/>
                <w:color w:val="000000"/>
              </w:rPr>
              <w:t>文字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BF5986" w:rsidRPr="003F3E56" w:rsidRDefault="00BF5986" w:rsidP="0045053D">
      <w:pPr>
        <w:rPr>
          <w:rFonts w:ascii="標楷體" w:eastAsia="標楷體" w:hAnsi="標楷體"/>
          <w:color w:val="000000"/>
        </w:rPr>
      </w:pPr>
    </w:p>
    <w:sectPr w:rsidR="00BF5986" w:rsidRPr="003F3E56" w:rsidSect="00845E9A">
      <w:footerReference w:type="default" r:id="rId8"/>
      <w:pgSz w:w="11906" w:h="16838"/>
      <w:pgMar w:top="1440" w:right="1800" w:bottom="1440" w:left="180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F4" w:rsidRDefault="009210F4">
      <w:r>
        <w:separator/>
      </w:r>
    </w:p>
  </w:endnote>
  <w:endnote w:type="continuationSeparator" w:id="0">
    <w:p w:rsidR="009210F4" w:rsidRDefault="0092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9665"/>
      <w:docPartObj>
        <w:docPartGallery w:val="Page Numbers (Bottom of Page)"/>
        <w:docPartUnique/>
      </w:docPartObj>
    </w:sdtPr>
    <w:sdtContent>
      <w:p w:rsidR="00A016E7" w:rsidRDefault="00680DC3">
        <w:pPr>
          <w:pStyle w:val="a4"/>
          <w:jc w:val="center"/>
        </w:pPr>
        <w:r>
          <w:fldChar w:fldCharType="begin"/>
        </w:r>
        <w:r w:rsidR="00A016E7">
          <w:instrText xml:space="preserve"> PAGE   \* MERGEFORMAT </w:instrText>
        </w:r>
        <w:r>
          <w:fldChar w:fldCharType="separate"/>
        </w:r>
        <w:r w:rsidR="00E24076" w:rsidRPr="00E24076">
          <w:rPr>
            <w:noProof/>
            <w:lang w:val="zh-TW"/>
          </w:rPr>
          <w:t>1</w:t>
        </w:r>
        <w:r>
          <w:fldChar w:fldCharType="end"/>
        </w:r>
      </w:p>
    </w:sdtContent>
  </w:sdt>
  <w:p w:rsidR="00C751F7" w:rsidRDefault="00C751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F4" w:rsidRDefault="009210F4">
      <w:r>
        <w:separator/>
      </w:r>
    </w:p>
  </w:footnote>
  <w:footnote w:type="continuationSeparator" w:id="0">
    <w:p w:rsidR="009210F4" w:rsidRDefault="00921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F4B"/>
    <w:multiLevelType w:val="hybridMultilevel"/>
    <w:tmpl w:val="C5E0D988"/>
    <w:lvl w:ilvl="0" w:tplc="F1E2108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9E48A8"/>
    <w:multiLevelType w:val="hybridMultilevel"/>
    <w:tmpl w:val="1660DC0A"/>
    <w:lvl w:ilvl="0" w:tplc="A0D0F4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E74EB3"/>
    <w:multiLevelType w:val="hybridMultilevel"/>
    <w:tmpl w:val="F8FA1B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FD6237"/>
    <w:multiLevelType w:val="hybridMultilevel"/>
    <w:tmpl w:val="A06CC972"/>
    <w:lvl w:ilvl="0" w:tplc="67D83B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6D7714"/>
    <w:multiLevelType w:val="hybridMultilevel"/>
    <w:tmpl w:val="FAC02984"/>
    <w:lvl w:ilvl="0" w:tplc="E6527C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5636F3"/>
    <w:multiLevelType w:val="hybridMultilevel"/>
    <w:tmpl w:val="28107C0A"/>
    <w:lvl w:ilvl="0" w:tplc="F4C4CD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3C4230"/>
    <w:multiLevelType w:val="hybridMultilevel"/>
    <w:tmpl w:val="329E2D62"/>
    <w:lvl w:ilvl="0" w:tplc="41E8DC76">
      <w:start w:val="2"/>
      <w:numFmt w:val="taiwaneseCountingThousand"/>
      <w:lvlText w:val="%1、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7">
    <w:nsid w:val="27D55807"/>
    <w:multiLevelType w:val="hybridMultilevel"/>
    <w:tmpl w:val="5C942C0E"/>
    <w:lvl w:ilvl="0" w:tplc="EBEAF660">
      <w:start w:val="1"/>
      <w:numFmt w:val="taiwaneseCountingThousand"/>
      <w:lvlText w:val="%1、"/>
      <w:lvlJc w:val="left"/>
      <w:pPr>
        <w:ind w:left="9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33C262C1"/>
    <w:multiLevelType w:val="hybridMultilevel"/>
    <w:tmpl w:val="E8C463C6"/>
    <w:lvl w:ilvl="0" w:tplc="9DD46A8C">
      <w:start w:val="2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4A55A48"/>
    <w:multiLevelType w:val="hybridMultilevel"/>
    <w:tmpl w:val="0A8E6E60"/>
    <w:lvl w:ilvl="0" w:tplc="28406EF4">
      <w:start w:val="2"/>
      <w:numFmt w:val="taiwaneseCountingThousand"/>
      <w:lvlText w:val="%1、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10">
    <w:nsid w:val="36EE0339"/>
    <w:multiLevelType w:val="hybridMultilevel"/>
    <w:tmpl w:val="40845252"/>
    <w:lvl w:ilvl="0" w:tplc="357E8C6A">
      <w:start w:val="1"/>
      <w:numFmt w:val="taiwaneseCountingThousand"/>
      <w:lvlText w:val="%1、"/>
      <w:lvlJc w:val="left"/>
      <w:pPr>
        <w:tabs>
          <w:tab w:val="num" w:pos="1077"/>
        </w:tabs>
        <w:ind w:left="1077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1">
    <w:nsid w:val="38874E45"/>
    <w:multiLevelType w:val="hybridMultilevel"/>
    <w:tmpl w:val="C7A82B20"/>
    <w:lvl w:ilvl="0" w:tplc="C78A88A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B46EB9"/>
    <w:multiLevelType w:val="hybridMultilevel"/>
    <w:tmpl w:val="772C3D0C"/>
    <w:lvl w:ilvl="0" w:tplc="3F64376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>
    <w:nsid w:val="3E410BDD"/>
    <w:multiLevelType w:val="hybridMultilevel"/>
    <w:tmpl w:val="3C6A166A"/>
    <w:lvl w:ilvl="0" w:tplc="AFE6AEBE">
      <w:start w:val="2"/>
      <w:numFmt w:val="taiwaneseCountingThousand"/>
      <w:lvlText w:val="%1、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14">
    <w:nsid w:val="42916D9F"/>
    <w:multiLevelType w:val="hybridMultilevel"/>
    <w:tmpl w:val="993277C0"/>
    <w:lvl w:ilvl="0" w:tplc="1FE2962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3C6459C"/>
    <w:multiLevelType w:val="hybridMultilevel"/>
    <w:tmpl w:val="4E661C2E"/>
    <w:lvl w:ilvl="0" w:tplc="A8404D56">
      <w:start w:val="1"/>
      <w:numFmt w:val="taiwaneseCountingThousand"/>
      <w:lvlText w:val="%1、"/>
      <w:lvlJc w:val="left"/>
      <w:pPr>
        <w:ind w:left="1044" w:hanging="480"/>
      </w:pPr>
      <w:rPr>
        <w:rFonts w:hAnsi="標楷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6">
    <w:nsid w:val="4C727CAF"/>
    <w:multiLevelType w:val="hybridMultilevel"/>
    <w:tmpl w:val="56100A4E"/>
    <w:lvl w:ilvl="0" w:tplc="63763C7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7">
    <w:nsid w:val="4C743B07"/>
    <w:multiLevelType w:val="hybridMultilevel"/>
    <w:tmpl w:val="7A58E1AC"/>
    <w:lvl w:ilvl="0" w:tplc="F9C825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70A6B37"/>
    <w:multiLevelType w:val="hybridMultilevel"/>
    <w:tmpl w:val="C584D426"/>
    <w:lvl w:ilvl="0" w:tplc="6D8046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3E7213"/>
    <w:multiLevelType w:val="hybridMultilevel"/>
    <w:tmpl w:val="E31E7862"/>
    <w:lvl w:ilvl="0" w:tplc="9C9C7A0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9C94BBE"/>
    <w:multiLevelType w:val="hybridMultilevel"/>
    <w:tmpl w:val="AD24D82C"/>
    <w:lvl w:ilvl="0" w:tplc="BD74A416">
      <w:start w:val="1"/>
      <w:numFmt w:val="taiwaneseCountingThousand"/>
      <w:lvlText w:val="%1、"/>
      <w:lvlJc w:val="left"/>
      <w:pPr>
        <w:ind w:left="691" w:hanging="36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21">
    <w:nsid w:val="650117CE"/>
    <w:multiLevelType w:val="hybridMultilevel"/>
    <w:tmpl w:val="D0BA23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6575902"/>
    <w:multiLevelType w:val="hybridMultilevel"/>
    <w:tmpl w:val="A516BC64"/>
    <w:lvl w:ilvl="0" w:tplc="F58E0114">
      <w:start w:val="2"/>
      <w:numFmt w:val="taiwaneseCountingThousand"/>
      <w:lvlText w:val="%1、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23">
    <w:nsid w:val="79CB3101"/>
    <w:multiLevelType w:val="hybridMultilevel"/>
    <w:tmpl w:val="19C4E818"/>
    <w:lvl w:ilvl="0" w:tplc="806E9644">
      <w:start w:val="2"/>
      <w:numFmt w:val="taiwaneseCountingThousand"/>
      <w:lvlText w:val="%1、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24">
    <w:nsid w:val="7DE22C82"/>
    <w:multiLevelType w:val="hybridMultilevel"/>
    <w:tmpl w:val="C7A82B20"/>
    <w:lvl w:ilvl="0" w:tplc="C78A88A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5"/>
  </w:num>
  <w:num w:numId="5">
    <w:abstractNumId w:val="3"/>
  </w:num>
  <w:num w:numId="6">
    <w:abstractNumId w:val="17"/>
  </w:num>
  <w:num w:numId="7">
    <w:abstractNumId w:val="4"/>
  </w:num>
  <w:num w:numId="8">
    <w:abstractNumId w:val="14"/>
  </w:num>
  <w:num w:numId="9">
    <w:abstractNumId w:val="23"/>
  </w:num>
  <w:num w:numId="10">
    <w:abstractNumId w:val="13"/>
  </w:num>
  <w:num w:numId="11">
    <w:abstractNumId w:val="6"/>
  </w:num>
  <w:num w:numId="12">
    <w:abstractNumId w:val="9"/>
  </w:num>
  <w:num w:numId="13">
    <w:abstractNumId w:val="22"/>
  </w:num>
  <w:num w:numId="14">
    <w:abstractNumId w:val="1"/>
  </w:num>
  <w:num w:numId="15">
    <w:abstractNumId w:val="18"/>
  </w:num>
  <w:num w:numId="16">
    <w:abstractNumId w:val="2"/>
  </w:num>
  <w:num w:numId="17">
    <w:abstractNumId w:val="21"/>
  </w:num>
  <w:num w:numId="18">
    <w:abstractNumId w:val="10"/>
  </w:num>
  <w:num w:numId="19">
    <w:abstractNumId w:val="16"/>
  </w:num>
  <w:num w:numId="20">
    <w:abstractNumId w:val="12"/>
  </w:num>
  <w:num w:numId="21">
    <w:abstractNumId w:val="7"/>
  </w:num>
  <w:num w:numId="22">
    <w:abstractNumId w:val="15"/>
  </w:num>
  <w:num w:numId="23">
    <w:abstractNumId w:val="20"/>
  </w:num>
  <w:num w:numId="24">
    <w:abstractNumId w:val="1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42BA"/>
    <w:rsid w:val="00006851"/>
    <w:rsid w:val="0000792D"/>
    <w:rsid w:val="00010AE5"/>
    <w:rsid w:val="000266EA"/>
    <w:rsid w:val="000477C6"/>
    <w:rsid w:val="0005158D"/>
    <w:rsid w:val="00083088"/>
    <w:rsid w:val="00085F5D"/>
    <w:rsid w:val="00090485"/>
    <w:rsid w:val="00093A96"/>
    <w:rsid w:val="0009525D"/>
    <w:rsid w:val="000A2DDD"/>
    <w:rsid w:val="000B6B5B"/>
    <w:rsid w:val="000C510A"/>
    <w:rsid w:val="000D1082"/>
    <w:rsid w:val="000E2393"/>
    <w:rsid w:val="000E2892"/>
    <w:rsid w:val="000E534F"/>
    <w:rsid w:val="000E7456"/>
    <w:rsid w:val="000F0B66"/>
    <w:rsid w:val="000F52E3"/>
    <w:rsid w:val="000F7FC5"/>
    <w:rsid w:val="001004C9"/>
    <w:rsid w:val="00120756"/>
    <w:rsid w:val="001309E1"/>
    <w:rsid w:val="00132EA6"/>
    <w:rsid w:val="00137803"/>
    <w:rsid w:val="00141CBB"/>
    <w:rsid w:val="001541B3"/>
    <w:rsid w:val="00167A07"/>
    <w:rsid w:val="00173C2C"/>
    <w:rsid w:val="00193F21"/>
    <w:rsid w:val="001B03DB"/>
    <w:rsid w:val="001C209E"/>
    <w:rsid w:val="001C76A6"/>
    <w:rsid w:val="001F25C4"/>
    <w:rsid w:val="001F37BF"/>
    <w:rsid w:val="001F433D"/>
    <w:rsid w:val="001F4C47"/>
    <w:rsid w:val="00202328"/>
    <w:rsid w:val="00204B84"/>
    <w:rsid w:val="0021294A"/>
    <w:rsid w:val="0023027A"/>
    <w:rsid w:val="002363DE"/>
    <w:rsid w:val="00245586"/>
    <w:rsid w:val="00246E87"/>
    <w:rsid w:val="00254913"/>
    <w:rsid w:val="00256045"/>
    <w:rsid w:val="00263F41"/>
    <w:rsid w:val="00271B6B"/>
    <w:rsid w:val="00296DE7"/>
    <w:rsid w:val="002A5159"/>
    <w:rsid w:val="002B5BBB"/>
    <w:rsid w:val="002C00D6"/>
    <w:rsid w:val="002C66C7"/>
    <w:rsid w:val="002D18F9"/>
    <w:rsid w:val="002D3101"/>
    <w:rsid w:val="002E52BB"/>
    <w:rsid w:val="002F17CA"/>
    <w:rsid w:val="002F612E"/>
    <w:rsid w:val="002F623E"/>
    <w:rsid w:val="0030079D"/>
    <w:rsid w:val="00310FC6"/>
    <w:rsid w:val="00317EEC"/>
    <w:rsid w:val="003274CA"/>
    <w:rsid w:val="00334436"/>
    <w:rsid w:val="00361D1F"/>
    <w:rsid w:val="00361D43"/>
    <w:rsid w:val="0036358E"/>
    <w:rsid w:val="00363C8D"/>
    <w:rsid w:val="00387A54"/>
    <w:rsid w:val="00392254"/>
    <w:rsid w:val="003934F3"/>
    <w:rsid w:val="003E60D2"/>
    <w:rsid w:val="003F0D1F"/>
    <w:rsid w:val="003F0EC8"/>
    <w:rsid w:val="003F3E56"/>
    <w:rsid w:val="00403087"/>
    <w:rsid w:val="00410412"/>
    <w:rsid w:val="00421944"/>
    <w:rsid w:val="00426302"/>
    <w:rsid w:val="00427033"/>
    <w:rsid w:val="00447DDA"/>
    <w:rsid w:val="0045053D"/>
    <w:rsid w:val="00452950"/>
    <w:rsid w:val="004550D1"/>
    <w:rsid w:val="00463551"/>
    <w:rsid w:val="0048221A"/>
    <w:rsid w:val="00486D71"/>
    <w:rsid w:val="004A0E90"/>
    <w:rsid w:val="004B5D01"/>
    <w:rsid w:val="004B6F33"/>
    <w:rsid w:val="004D2ECF"/>
    <w:rsid w:val="004D5E88"/>
    <w:rsid w:val="004E0F00"/>
    <w:rsid w:val="004E3E9D"/>
    <w:rsid w:val="0054371A"/>
    <w:rsid w:val="00552BBB"/>
    <w:rsid w:val="00563EA4"/>
    <w:rsid w:val="00573AE0"/>
    <w:rsid w:val="005767E9"/>
    <w:rsid w:val="00576C19"/>
    <w:rsid w:val="00584BB1"/>
    <w:rsid w:val="005948C2"/>
    <w:rsid w:val="005A156C"/>
    <w:rsid w:val="005B125E"/>
    <w:rsid w:val="005B6970"/>
    <w:rsid w:val="005C01F7"/>
    <w:rsid w:val="005D42BA"/>
    <w:rsid w:val="005E0703"/>
    <w:rsid w:val="005F566A"/>
    <w:rsid w:val="00621796"/>
    <w:rsid w:val="00646655"/>
    <w:rsid w:val="0064728E"/>
    <w:rsid w:val="00666CF7"/>
    <w:rsid w:val="006701F2"/>
    <w:rsid w:val="006728AB"/>
    <w:rsid w:val="00680DC3"/>
    <w:rsid w:val="0069360F"/>
    <w:rsid w:val="006C2ADE"/>
    <w:rsid w:val="006C4B1A"/>
    <w:rsid w:val="006E3935"/>
    <w:rsid w:val="006E4513"/>
    <w:rsid w:val="00700CFF"/>
    <w:rsid w:val="00700FED"/>
    <w:rsid w:val="00710CEC"/>
    <w:rsid w:val="00721682"/>
    <w:rsid w:val="00743C2D"/>
    <w:rsid w:val="0076000D"/>
    <w:rsid w:val="00796699"/>
    <w:rsid w:val="007A083A"/>
    <w:rsid w:val="007B3C6E"/>
    <w:rsid w:val="007D1DE9"/>
    <w:rsid w:val="007F5C24"/>
    <w:rsid w:val="00810DDD"/>
    <w:rsid w:val="00812F03"/>
    <w:rsid w:val="00822195"/>
    <w:rsid w:val="00835DEE"/>
    <w:rsid w:val="00842052"/>
    <w:rsid w:val="00842756"/>
    <w:rsid w:val="008433F5"/>
    <w:rsid w:val="00845E9A"/>
    <w:rsid w:val="00855571"/>
    <w:rsid w:val="0087297A"/>
    <w:rsid w:val="00875987"/>
    <w:rsid w:val="008F1C70"/>
    <w:rsid w:val="008F49A1"/>
    <w:rsid w:val="008F6979"/>
    <w:rsid w:val="008F69D0"/>
    <w:rsid w:val="00906EA0"/>
    <w:rsid w:val="00910CD4"/>
    <w:rsid w:val="009210F4"/>
    <w:rsid w:val="00932509"/>
    <w:rsid w:val="009327E5"/>
    <w:rsid w:val="009512E2"/>
    <w:rsid w:val="009577F9"/>
    <w:rsid w:val="00971CA7"/>
    <w:rsid w:val="00977F95"/>
    <w:rsid w:val="009805BF"/>
    <w:rsid w:val="0098281C"/>
    <w:rsid w:val="0098644C"/>
    <w:rsid w:val="009B7CDB"/>
    <w:rsid w:val="009C1967"/>
    <w:rsid w:val="009C60F0"/>
    <w:rsid w:val="009C65D7"/>
    <w:rsid w:val="009E2276"/>
    <w:rsid w:val="009E4DA4"/>
    <w:rsid w:val="009F1681"/>
    <w:rsid w:val="009F1AD6"/>
    <w:rsid w:val="009F2A9F"/>
    <w:rsid w:val="00A016E7"/>
    <w:rsid w:val="00A1449F"/>
    <w:rsid w:val="00A1557B"/>
    <w:rsid w:val="00A30819"/>
    <w:rsid w:val="00A369B2"/>
    <w:rsid w:val="00A36DB3"/>
    <w:rsid w:val="00A72C38"/>
    <w:rsid w:val="00A75F55"/>
    <w:rsid w:val="00A83314"/>
    <w:rsid w:val="00A84E4F"/>
    <w:rsid w:val="00AA4119"/>
    <w:rsid w:val="00AB1D1C"/>
    <w:rsid w:val="00AB27CB"/>
    <w:rsid w:val="00AB7572"/>
    <w:rsid w:val="00AD3B80"/>
    <w:rsid w:val="00B0133D"/>
    <w:rsid w:val="00B1129B"/>
    <w:rsid w:val="00B12823"/>
    <w:rsid w:val="00B16D63"/>
    <w:rsid w:val="00B1755D"/>
    <w:rsid w:val="00B512E4"/>
    <w:rsid w:val="00B5376B"/>
    <w:rsid w:val="00B550B8"/>
    <w:rsid w:val="00B63BF7"/>
    <w:rsid w:val="00B65F58"/>
    <w:rsid w:val="00B70251"/>
    <w:rsid w:val="00BA0F1B"/>
    <w:rsid w:val="00BB0DEB"/>
    <w:rsid w:val="00BF5986"/>
    <w:rsid w:val="00C10CEE"/>
    <w:rsid w:val="00C219BD"/>
    <w:rsid w:val="00C31D6C"/>
    <w:rsid w:val="00C5606C"/>
    <w:rsid w:val="00C61851"/>
    <w:rsid w:val="00C70CED"/>
    <w:rsid w:val="00C751F7"/>
    <w:rsid w:val="00C802C2"/>
    <w:rsid w:val="00C86538"/>
    <w:rsid w:val="00C90434"/>
    <w:rsid w:val="00C928AE"/>
    <w:rsid w:val="00C93BD5"/>
    <w:rsid w:val="00C96E47"/>
    <w:rsid w:val="00CA5C3A"/>
    <w:rsid w:val="00CA71CE"/>
    <w:rsid w:val="00CC0405"/>
    <w:rsid w:val="00CC0BC9"/>
    <w:rsid w:val="00CC6A62"/>
    <w:rsid w:val="00D1040F"/>
    <w:rsid w:val="00D41A0D"/>
    <w:rsid w:val="00D4274A"/>
    <w:rsid w:val="00D90B05"/>
    <w:rsid w:val="00D96180"/>
    <w:rsid w:val="00DB39E9"/>
    <w:rsid w:val="00DB6AEE"/>
    <w:rsid w:val="00DC24E3"/>
    <w:rsid w:val="00DC6F4F"/>
    <w:rsid w:val="00DE70B1"/>
    <w:rsid w:val="00DF2CA7"/>
    <w:rsid w:val="00DF6CF2"/>
    <w:rsid w:val="00E14BE6"/>
    <w:rsid w:val="00E24076"/>
    <w:rsid w:val="00E459B1"/>
    <w:rsid w:val="00E50099"/>
    <w:rsid w:val="00E51559"/>
    <w:rsid w:val="00E6616D"/>
    <w:rsid w:val="00E669F0"/>
    <w:rsid w:val="00E707F3"/>
    <w:rsid w:val="00E76843"/>
    <w:rsid w:val="00EA0CC6"/>
    <w:rsid w:val="00EA2223"/>
    <w:rsid w:val="00EA6CBD"/>
    <w:rsid w:val="00EB473E"/>
    <w:rsid w:val="00EE1211"/>
    <w:rsid w:val="00F05E4D"/>
    <w:rsid w:val="00F142F4"/>
    <w:rsid w:val="00F15085"/>
    <w:rsid w:val="00F241E5"/>
    <w:rsid w:val="00F25359"/>
    <w:rsid w:val="00F36AC4"/>
    <w:rsid w:val="00F37677"/>
    <w:rsid w:val="00F405A1"/>
    <w:rsid w:val="00F510B0"/>
    <w:rsid w:val="00F57D37"/>
    <w:rsid w:val="00F71738"/>
    <w:rsid w:val="00F808FC"/>
    <w:rsid w:val="00FA1049"/>
    <w:rsid w:val="00FA3736"/>
    <w:rsid w:val="00FA42F3"/>
    <w:rsid w:val="00FB5E26"/>
    <w:rsid w:val="00FB7A64"/>
    <w:rsid w:val="00FC0BCE"/>
    <w:rsid w:val="00FD27AE"/>
    <w:rsid w:val="00FE0B70"/>
    <w:rsid w:val="00FE47B6"/>
    <w:rsid w:val="00FE5FDE"/>
    <w:rsid w:val="00FF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F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0F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0F0B66"/>
  </w:style>
  <w:style w:type="paragraph" w:styleId="HTML">
    <w:name w:val="HTML Preformatted"/>
    <w:basedOn w:val="a"/>
    <w:link w:val="HTML0"/>
    <w:uiPriority w:val="99"/>
    <w:rsid w:val="000F0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</w:rPr>
  </w:style>
  <w:style w:type="paragraph" w:customStyle="1" w:styleId="a7">
    <w:name w:val="第一條(條)"/>
    <w:basedOn w:val="a"/>
    <w:rsid w:val="000F0B66"/>
    <w:pPr>
      <w:widowControl w:val="0"/>
      <w:spacing w:line="480" w:lineRule="exact"/>
      <w:ind w:left="500" w:hangingChars="500" w:hanging="500"/>
      <w:jc w:val="both"/>
    </w:pPr>
    <w:rPr>
      <w:rFonts w:eastAsia="華康楷書體W5"/>
      <w:kern w:val="2"/>
      <w:sz w:val="28"/>
    </w:rPr>
  </w:style>
  <w:style w:type="paragraph" w:styleId="a8">
    <w:name w:val="Body Text"/>
    <w:basedOn w:val="a"/>
    <w:semiHidden/>
    <w:rsid w:val="000F0B66"/>
    <w:pPr>
      <w:widowControl w:val="0"/>
    </w:pPr>
    <w:rPr>
      <w:rFonts w:eastAsia="標楷體"/>
      <w:kern w:val="2"/>
      <w:sz w:val="32"/>
    </w:rPr>
  </w:style>
  <w:style w:type="paragraph" w:styleId="a9">
    <w:name w:val="Body Text Indent"/>
    <w:basedOn w:val="a"/>
    <w:semiHidden/>
    <w:rsid w:val="000F0B66"/>
    <w:pPr>
      <w:widowControl w:val="0"/>
      <w:ind w:firstLineChars="200" w:firstLine="480"/>
    </w:pPr>
    <w:rPr>
      <w:rFonts w:eastAsia="標楷體"/>
      <w:kern w:val="2"/>
    </w:rPr>
  </w:style>
  <w:style w:type="paragraph" w:styleId="aa">
    <w:name w:val="Balloon Text"/>
    <w:basedOn w:val="a"/>
    <w:semiHidden/>
    <w:rsid w:val="000F0B66"/>
    <w:rPr>
      <w:rFonts w:ascii="Arial" w:hAnsi="Arial"/>
      <w:sz w:val="18"/>
      <w:szCs w:val="18"/>
    </w:rPr>
  </w:style>
  <w:style w:type="paragraph" w:styleId="ab">
    <w:name w:val="Salutation"/>
    <w:basedOn w:val="a"/>
    <w:next w:val="a"/>
    <w:semiHidden/>
    <w:rsid w:val="000F0B66"/>
    <w:pPr>
      <w:widowControl w:val="0"/>
    </w:pPr>
    <w:rPr>
      <w:rFonts w:ascii="標楷體" w:eastAsia="標楷體"/>
      <w:spacing w:val="20"/>
      <w:kern w:val="2"/>
      <w:szCs w:val="20"/>
    </w:rPr>
  </w:style>
  <w:style w:type="paragraph" w:styleId="2">
    <w:name w:val="Body Text Indent 2"/>
    <w:basedOn w:val="a"/>
    <w:semiHidden/>
    <w:rsid w:val="000F0B66"/>
    <w:pPr>
      <w:spacing w:line="460" w:lineRule="exact"/>
      <w:ind w:leftChars="57" w:left="137" w:firstLineChars="200" w:firstLine="560"/>
      <w:jc w:val="both"/>
    </w:pPr>
    <w:rPr>
      <w:rFonts w:ascii="標楷體" w:eastAsia="標楷體" w:hAnsi="標楷體"/>
      <w:color w:val="000000"/>
      <w:sz w:val="28"/>
    </w:rPr>
  </w:style>
  <w:style w:type="paragraph" w:styleId="3">
    <w:name w:val="Body Text Indent 3"/>
    <w:basedOn w:val="a"/>
    <w:semiHidden/>
    <w:rsid w:val="000F0B66"/>
    <w:pPr>
      <w:ind w:left="304" w:hanging="263"/>
      <w:jc w:val="both"/>
    </w:pPr>
    <w:rPr>
      <w:rFonts w:ascii="標楷體" w:eastAsia="標楷體" w:hAnsi="標楷體"/>
      <w:color w:val="000000"/>
      <w:sz w:val="28"/>
    </w:rPr>
  </w:style>
  <w:style w:type="paragraph" w:styleId="20">
    <w:name w:val="Body Text 2"/>
    <w:basedOn w:val="a"/>
    <w:semiHidden/>
    <w:rsid w:val="000F0B66"/>
    <w:rPr>
      <w:rFonts w:ascii="標楷體" w:eastAsia="標楷體" w:hAnsi="標楷體"/>
      <w:sz w:val="28"/>
    </w:rPr>
  </w:style>
  <w:style w:type="character" w:customStyle="1" w:styleId="HTML0">
    <w:name w:val="HTML 預設格式 字元"/>
    <w:basedOn w:val="a0"/>
    <w:link w:val="HTML"/>
    <w:uiPriority w:val="99"/>
    <w:rsid w:val="00317EEC"/>
    <w:rPr>
      <w:rFonts w:ascii="細明體" w:eastAsia="細明體" w:hAnsi="細明體" w:cs="細明體"/>
      <w:color w:val="333333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4A0E90"/>
  </w:style>
  <w:style w:type="paragraph" w:styleId="ac">
    <w:name w:val="Plain Text"/>
    <w:basedOn w:val="a"/>
    <w:link w:val="ad"/>
    <w:uiPriority w:val="99"/>
    <w:unhideWhenUsed/>
    <w:rsid w:val="00EB473E"/>
    <w:pPr>
      <w:widowControl w:val="0"/>
    </w:pPr>
    <w:rPr>
      <w:rFonts w:ascii="Calibri" w:hAnsi="Courier New" w:cs="Courier New"/>
      <w:kern w:val="2"/>
    </w:rPr>
  </w:style>
  <w:style w:type="character" w:customStyle="1" w:styleId="ad">
    <w:name w:val="純文字 字元"/>
    <w:basedOn w:val="a0"/>
    <w:link w:val="ac"/>
    <w:uiPriority w:val="99"/>
    <w:rsid w:val="00EB473E"/>
    <w:rPr>
      <w:rFonts w:ascii="Calibri" w:hAnsi="Courier New" w:cs="Courier New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E47B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198C-5229-4DA5-AE51-F0F9B50C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投資人對證券商買賣交割時點暨相關法規申報時點修正對照表</dc:title>
  <dc:creator>0096</dc:creator>
  <cp:lastModifiedBy>0440</cp:lastModifiedBy>
  <cp:revision>10</cp:revision>
  <cp:lastPrinted>2014-08-06T07:54:00Z</cp:lastPrinted>
  <dcterms:created xsi:type="dcterms:W3CDTF">2014-10-14T05:49:00Z</dcterms:created>
  <dcterms:modified xsi:type="dcterms:W3CDTF">2014-11-04T08:10:00Z</dcterms:modified>
</cp:coreProperties>
</file>