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F8" w:rsidRPr="00110A96" w:rsidRDefault="004879F8" w:rsidP="00677671">
      <w:pPr>
        <w:pStyle w:val="a3"/>
        <w:spacing w:after="180"/>
        <w:ind w:leftChars="-59" w:left="-142"/>
        <w:jc w:val="center"/>
        <w:rPr>
          <w:rFonts w:hAnsi="標楷體"/>
          <w:b w:val="0"/>
          <w:sz w:val="28"/>
          <w:szCs w:val="28"/>
        </w:rPr>
      </w:pPr>
      <w:r w:rsidRPr="00110A96">
        <w:rPr>
          <w:rFonts w:hAnsi="標楷體"/>
          <w:b w:val="0"/>
          <w:sz w:val="28"/>
          <w:szCs w:val="28"/>
        </w:rPr>
        <w:t>臺灣證券交易所股份有限公司營業細則</w:t>
      </w:r>
      <w:r w:rsidR="006C0218" w:rsidRPr="00110A96">
        <w:rPr>
          <w:rFonts w:hAnsi="標楷體" w:hint="eastAsia"/>
          <w:b w:val="0"/>
          <w:sz w:val="28"/>
          <w:szCs w:val="28"/>
        </w:rPr>
        <w:t>部分條文</w:t>
      </w:r>
      <w:r w:rsidRPr="00110A96">
        <w:rPr>
          <w:rFonts w:hAnsi="標楷體" w:hint="eastAsia"/>
          <w:b w:val="0"/>
          <w:sz w:val="28"/>
          <w:szCs w:val="28"/>
        </w:rPr>
        <w:t>修正對照表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gridCol w:w="3154"/>
        <w:gridCol w:w="2232"/>
      </w:tblGrid>
      <w:tr w:rsidR="00121833" w:rsidRPr="004879F8" w:rsidTr="000A461E">
        <w:trPr>
          <w:tblHeader/>
        </w:trPr>
        <w:tc>
          <w:tcPr>
            <w:tcW w:w="3136" w:type="dxa"/>
          </w:tcPr>
          <w:p w:rsidR="004879F8" w:rsidRPr="00121833" w:rsidRDefault="004879F8" w:rsidP="004879F8">
            <w:pPr>
              <w:ind w:rightChars="47" w:right="113"/>
              <w:jc w:val="center"/>
              <w:rPr>
                <w:rFonts w:ascii="Times New Roman" w:eastAsia="標楷體" w:hAnsi="Times New Roman"/>
              </w:rPr>
            </w:pPr>
            <w:r w:rsidRPr="00121833">
              <w:rPr>
                <w:rFonts w:ascii="Times New Roman" w:eastAsia="標楷體" w:hAnsi="標楷體"/>
              </w:rPr>
              <w:t>修</w:t>
            </w:r>
            <w:r w:rsidRPr="00121833">
              <w:rPr>
                <w:rFonts w:ascii="Times New Roman" w:eastAsia="標楷體" w:hAnsi="Times New Roman"/>
              </w:rPr>
              <w:t xml:space="preserve">  </w:t>
            </w:r>
            <w:r w:rsidRPr="00121833">
              <w:rPr>
                <w:rFonts w:ascii="Times New Roman" w:eastAsia="標楷體" w:hAnsi="標楷體"/>
              </w:rPr>
              <w:t>正</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3154" w:type="dxa"/>
          </w:tcPr>
          <w:p w:rsidR="004879F8" w:rsidRPr="00121833" w:rsidRDefault="004879F8" w:rsidP="004879F8">
            <w:pPr>
              <w:ind w:leftChars="47" w:left="113"/>
              <w:jc w:val="center"/>
              <w:rPr>
                <w:rFonts w:ascii="Times New Roman" w:eastAsia="標楷體" w:hAnsi="Times New Roman"/>
              </w:rPr>
            </w:pPr>
            <w:r w:rsidRPr="00121833">
              <w:rPr>
                <w:rFonts w:ascii="Times New Roman" w:eastAsia="標楷體" w:hAnsi="標楷體"/>
              </w:rPr>
              <w:t>現</w:t>
            </w:r>
            <w:r w:rsidRPr="00121833">
              <w:rPr>
                <w:rFonts w:ascii="Times New Roman" w:eastAsia="標楷體" w:hAnsi="Times New Roman"/>
              </w:rPr>
              <w:t xml:space="preserve">  </w:t>
            </w:r>
            <w:r w:rsidRPr="00121833">
              <w:rPr>
                <w:rFonts w:ascii="Times New Roman" w:eastAsia="標楷體" w:hAnsi="標楷體"/>
              </w:rPr>
              <w:t>行</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2232" w:type="dxa"/>
          </w:tcPr>
          <w:p w:rsidR="004879F8" w:rsidRPr="00121833" w:rsidRDefault="004879F8" w:rsidP="004879F8">
            <w:pPr>
              <w:ind w:leftChars="47" w:left="113"/>
              <w:jc w:val="center"/>
              <w:rPr>
                <w:rFonts w:ascii="Times New Roman" w:eastAsia="標楷體" w:hAnsi="Times New Roman"/>
              </w:rPr>
            </w:pPr>
            <w:r w:rsidRPr="00121833">
              <w:rPr>
                <w:rFonts w:ascii="Times New Roman" w:eastAsia="標楷體" w:hAnsi="標楷體"/>
              </w:rPr>
              <w:t>說</w:t>
            </w:r>
            <w:r w:rsidRPr="00121833">
              <w:rPr>
                <w:rFonts w:ascii="Times New Roman" w:eastAsia="標楷體" w:hAnsi="Times New Roman"/>
              </w:rPr>
              <w:t xml:space="preserve">      </w:t>
            </w:r>
            <w:r w:rsidRPr="00121833">
              <w:rPr>
                <w:rFonts w:ascii="Times New Roman" w:eastAsia="標楷體" w:hAnsi="標楷體"/>
              </w:rPr>
              <w:t>明</w:t>
            </w:r>
          </w:p>
        </w:tc>
      </w:tr>
      <w:tr w:rsidR="0074174E" w:rsidRPr="004879F8" w:rsidTr="0074174E">
        <w:tc>
          <w:tcPr>
            <w:tcW w:w="3136" w:type="dxa"/>
          </w:tcPr>
          <w:p w:rsidR="0074174E" w:rsidRPr="00E2680C" w:rsidRDefault="0074174E" w:rsidP="00B415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tLeast"/>
              <w:rPr>
                <w:rFonts w:ascii="標楷體" w:eastAsia="標楷體" w:hAnsi="標楷體" w:cs="細明體"/>
                <w:color w:val="000000"/>
                <w:kern w:val="0"/>
                <w:szCs w:val="24"/>
              </w:rPr>
            </w:pPr>
            <w:r w:rsidRPr="00E2680C">
              <w:rPr>
                <w:rFonts w:ascii="標楷體" w:eastAsia="標楷體" w:hAnsi="標楷體" w:cs="細明體" w:hint="eastAsia"/>
                <w:color w:val="000000"/>
                <w:kern w:val="0"/>
                <w:szCs w:val="24"/>
              </w:rPr>
              <w:t>第一條</w:t>
            </w:r>
          </w:p>
          <w:p w:rsidR="0074174E" w:rsidRPr="00E2680C" w:rsidRDefault="0074174E" w:rsidP="00B415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tLeast"/>
              <w:jc w:val="both"/>
              <w:rPr>
                <w:rFonts w:ascii="標楷體" w:eastAsia="標楷體" w:hAnsi="標楷體" w:cs="細明體"/>
                <w:color w:val="000000"/>
                <w:kern w:val="0"/>
                <w:szCs w:val="24"/>
              </w:rPr>
            </w:pPr>
            <w:r w:rsidRPr="00FA77F2">
              <w:rPr>
                <w:rFonts w:ascii="標楷體" w:eastAsia="標楷體" w:hAnsi="標楷體" w:cs="細明體" w:hint="eastAsia"/>
                <w:color w:val="000000"/>
                <w:kern w:val="0"/>
                <w:szCs w:val="24"/>
              </w:rPr>
              <w:t>本營業細則，依證券交易法第一百三十八條及本公司章程第</w:t>
            </w:r>
            <w:r w:rsidRPr="00E2680C">
              <w:rPr>
                <w:rFonts w:ascii="標楷體" w:eastAsia="標楷體" w:hAnsi="標楷體" w:cs="細明體" w:hint="eastAsia"/>
                <w:color w:val="000000"/>
                <w:kern w:val="0"/>
                <w:szCs w:val="24"/>
                <w:u w:val="single"/>
              </w:rPr>
              <w:t>三十六</w:t>
            </w:r>
            <w:r w:rsidRPr="00FA77F2">
              <w:rPr>
                <w:rFonts w:ascii="標楷體" w:eastAsia="標楷體" w:hAnsi="標楷體" w:cs="細明體" w:hint="eastAsia"/>
                <w:color w:val="000000"/>
                <w:kern w:val="0"/>
                <w:szCs w:val="24"/>
              </w:rPr>
              <w:t>條規定訂定之。</w:t>
            </w:r>
          </w:p>
        </w:tc>
        <w:tc>
          <w:tcPr>
            <w:tcW w:w="3154" w:type="dxa"/>
          </w:tcPr>
          <w:p w:rsidR="0074174E" w:rsidRPr="00E2680C" w:rsidRDefault="0074174E" w:rsidP="00B415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tLeast"/>
              <w:rPr>
                <w:rFonts w:ascii="標楷體" w:eastAsia="標楷體" w:hAnsi="標楷體" w:cs="細明體"/>
                <w:color w:val="000000"/>
                <w:kern w:val="0"/>
                <w:szCs w:val="24"/>
              </w:rPr>
            </w:pPr>
            <w:r w:rsidRPr="00E2680C">
              <w:rPr>
                <w:rFonts w:ascii="標楷體" w:eastAsia="標楷體" w:hAnsi="標楷體" w:cs="細明體" w:hint="eastAsia"/>
                <w:color w:val="000000"/>
                <w:kern w:val="0"/>
                <w:szCs w:val="24"/>
              </w:rPr>
              <w:t>第一條</w:t>
            </w:r>
          </w:p>
          <w:p w:rsidR="0074174E" w:rsidRPr="00E2680C" w:rsidRDefault="0074174E" w:rsidP="00B41500">
            <w:pPr>
              <w:jc w:val="both"/>
              <w:rPr>
                <w:rFonts w:ascii="Times New Roman" w:eastAsia="標楷體" w:hAnsi="標楷體"/>
                <w:szCs w:val="24"/>
              </w:rPr>
            </w:pPr>
            <w:r w:rsidRPr="00FA77F2">
              <w:rPr>
                <w:rFonts w:ascii="標楷體" w:eastAsia="標楷體" w:hAnsi="標楷體" w:cs="細明體" w:hint="eastAsia"/>
                <w:color w:val="000000"/>
                <w:kern w:val="0"/>
                <w:szCs w:val="24"/>
              </w:rPr>
              <w:t>本營業細則，依證券交易法第一百三十八條及本公司章程第</w:t>
            </w:r>
            <w:r w:rsidRPr="00E2680C">
              <w:rPr>
                <w:rFonts w:ascii="標楷體" w:eastAsia="標楷體" w:hAnsi="標楷體" w:cs="細明體" w:hint="eastAsia"/>
                <w:color w:val="000000"/>
                <w:kern w:val="0"/>
                <w:szCs w:val="24"/>
              </w:rPr>
              <w:t>四十四</w:t>
            </w:r>
            <w:r w:rsidRPr="00FA77F2">
              <w:rPr>
                <w:rFonts w:ascii="標楷體" w:eastAsia="標楷體" w:hAnsi="標楷體" w:cs="細明體" w:hint="eastAsia"/>
                <w:color w:val="000000"/>
                <w:kern w:val="0"/>
                <w:szCs w:val="24"/>
              </w:rPr>
              <w:t>條規定訂定之。</w:t>
            </w:r>
          </w:p>
        </w:tc>
        <w:tc>
          <w:tcPr>
            <w:tcW w:w="2232" w:type="dxa"/>
          </w:tcPr>
          <w:p w:rsidR="0074174E" w:rsidRPr="00E2680C" w:rsidRDefault="0074174E" w:rsidP="00B41500">
            <w:pPr>
              <w:rPr>
                <w:rFonts w:ascii="Times New Roman" w:eastAsia="標楷體" w:hAnsi="標楷體"/>
                <w:szCs w:val="24"/>
              </w:rPr>
            </w:pPr>
            <w:r w:rsidRPr="00E2680C">
              <w:rPr>
                <w:rFonts w:ascii="Times New Roman" w:eastAsia="標楷體" w:hAnsi="標楷體" w:hint="eastAsia"/>
                <w:szCs w:val="24"/>
              </w:rPr>
              <w:t>配合本公司章程原</w:t>
            </w:r>
            <w:proofErr w:type="gramStart"/>
            <w:r w:rsidRPr="00E2680C">
              <w:rPr>
                <w:rFonts w:ascii="Times New Roman" w:eastAsia="標楷體" w:hAnsi="標楷體" w:hint="eastAsia"/>
                <w:szCs w:val="24"/>
              </w:rPr>
              <w:t>第四十四條移列</w:t>
            </w:r>
            <w:proofErr w:type="gramEnd"/>
            <w:r w:rsidRPr="00E2680C">
              <w:rPr>
                <w:rFonts w:ascii="Times New Roman" w:eastAsia="標楷體" w:hAnsi="標楷體" w:hint="eastAsia"/>
                <w:szCs w:val="24"/>
              </w:rPr>
              <w:t>至第三十</w:t>
            </w:r>
            <w:r>
              <w:rPr>
                <w:rFonts w:ascii="Times New Roman" w:eastAsia="標楷體" w:hAnsi="標楷體" w:hint="eastAsia"/>
                <w:szCs w:val="24"/>
              </w:rPr>
              <w:t>六</w:t>
            </w:r>
            <w:r w:rsidRPr="00E2680C">
              <w:rPr>
                <w:rFonts w:ascii="Times New Roman" w:eastAsia="標楷體" w:hAnsi="標楷體" w:hint="eastAsia"/>
                <w:szCs w:val="24"/>
              </w:rPr>
              <w:t>條，</w:t>
            </w:r>
            <w:proofErr w:type="gramStart"/>
            <w:r w:rsidRPr="00E2680C">
              <w:rPr>
                <w:rFonts w:ascii="Times New Roman" w:eastAsia="標楷體" w:hAnsi="標楷體" w:hint="eastAsia"/>
                <w:szCs w:val="24"/>
              </w:rPr>
              <w:t>爰</w:t>
            </w:r>
            <w:proofErr w:type="gramEnd"/>
            <w:r w:rsidRPr="00E2680C">
              <w:rPr>
                <w:rFonts w:ascii="Times New Roman" w:eastAsia="標楷體" w:hAnsi="標楷體" w:hint="eastAsia"/>
                <w:szCs w:val="24"/>
              </w:rPr>
              <w:t>修正所引用之條次。</w:t>
            </w:r>
          </w:p>
        </w:tc>
      </w:tr>
      <w:tr w:rsidR="0074174E" w:rsidRPr="004879F8" w:rsidTr="0074174E">
        <w:tc>
          <w:tcPr>
            <w:tcW w:w="3136" w:type="dxa"/>
          </w:tcPr>
          <w:p w:rsidR="0074174E" w:rsidRDefault="0074174E" w:rsidP="004879F8">
            <w:pPr>
              <w:rPr>
                <w:rFonts w:ascii="Times New Roman" w:eastAsia="標楷體" w:hAnsi="標楷體"/>
              </w:rPr>
            </w:pPr>
            <w:r>
              <w:rPr>
                <w:rFonts w:ascii="Times New Roman" w:eastAsia="標楷體" w:hAnsi="標楷體" w:hint="eastAsia"/>
              </w:rPr>
              <w:t>第</w:t>
            </w:r>
            <w:r w:rsidRPr="002310F6">
              <w:rPr>
                <w:rFonts w:ascii="標楷體" w:eastAsia="標楷體" w:hAnsi="標楷體" w:cs="細明體" w:hint="eastAsia"/>
                <w:kern w:val="0"/>
                <w:szCs w:val="24"/>
              </w:rPr>
              <w:t>十</w:t>
            </w:r>
            <w:r>
              <w:rPr>
                <w:rFonts w:ascii="標楷體" w:eastAsia="標楷體" w:hAnsi="標楷體" w:cs="細明體" w:hint="eastAsia"/>
                <w:kern w:val="0"/>
                <w:szCs w:val="24"/>
              </w:rPr>
              <w:t>八</w:t>
            </w:r>
            <w:r>
              <w:rPr>
                <w:rFonts w:ascii="Times New Roman" w:eastAsia="標楷體" w:hAnsi="標楷體" w:hint="eastAsia"/>
              </w:rPr>
              <w:t>條</w:t>
            </w:r>
          </w:p>
          <w:p w:rsidR="0074174E" w:rsidRDefault="0074174E"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color w:val="000000"/>
                <w:kern w:val="0"/>
                <w:szCs w:val="24"/>
              </w:rPr>
            </w:pPr>
            <w:r w:rsidRPr="0062118B">
              <w:rPr>
                <w:rFonts w:ascii="標楷體" w:eastAsia="標楷體" w:hAnsi="標楷體" w:cs="細明體"/>
                <w:kern w:val="0"/>
                <w:szCs w:val="24"/>
              </w:rPr>
              <w:t>證券商受僱人到外執行業務，及在本公司市場所為之一切行為，證券商應負完全責任</w:t>
            </w:r>
            <w:r w:rsidRPr="001722A8">
              <w:rPr>
                <w:rFonts w:ascii="Times New Roman" w:eastAsia="標楷體" w:hAnsi="標楷體" w:hint="eastAsia"/>
                <w:color w:val="000000"/>
                <w:kern w:val="0"/>
                <w:szCs w:val="24"/>
              </w:rPr>
              <w:t>。</w:t>
            </w:r>
          </w:p>
          <w:p w:rsidR="0074174E" w:rsidRPr="001722A8" w:rsidRDefault="0074174E"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color w:val="FF0000"/>
                <w:szCs w:val="24"/>
                <w:u w:val="single"/>
              </w:rPr>
            </w:pPr>
            <w:r w:rsidRPr="0062118B">
              <w:rPr>
                <w:rFonts w:ascii="標楷體" w:eastAsia="標楷體" w:hAnsi="標楷體" w:cs="細明體"/>
                <w:color w:val="000000"/>
                <w:kern w:val="0"/>
                <w:szCs w:val="24"/>
              </w:rPr>
              <w:t>前項人員對本營業細則、市場公告及其他規定悉應遵守，不得諉為不知</w:t>
            </w:r>
            <w:r>
              <w:rPr>
                <w:rFonts w:ascii="標楷體" w:eastAsia="標楷體" w:hAnsi="標楷體" w:cs="細明體" w:hint="eastAsia"/>
                <w:color w:val="000000"/>
                <w:kern w:val="0"/>
                <w:szCs w:val="24"/>
              </w:rPr>
              <w:t>。</w:t>
            </w:r>
          </w:p>
        </w:tc>
        <w:tc>
          <w:tcPr>
            <w:tcW w:w="3154" w:type="dxa"/>
          </w:tcPr>
          <w:p w:rsidR="0074174E" w:rsidRDefault="0074174E" w:rsidP="00121833">
            <w:pPr>
              <w:rPr>
                <w:rFonts w:ascii="Times New Roman" w:eastAsia="標楷體" w:hAnsi="標楷體"/>
              </w:rPr>
            </w:pPr>
            <w:r>
              <w:rPr>
                <w:rFonts w:ascii="Times New Roman" w:eastAsia="標楷體" w:hAnsi="標楷體" w:hint="eastAsia"/>
              </w:rPr>
              <w:t>第</w:t>
            </w:r>
            <w:r w:rsidRPr="002310F6">
              <w:rPr>
                <w:rFonts w:ascii="標楷體" w:eastAsia="標楷體" w:hAnsi="標楷體" w:cs="細明體" w:hint="eastAsia"/>
                <w:kern w:val="0"/>
                <w:szCs w:val="24"/>
              </w:rPr>
              <w:t>十</w:t>
            </w:r>
            <w:r>
              <w:rPr>
                <w:rFonts w:ascii="標楷體" w:eastAsia="標楷體" w:hAnsi="標楷體" w:cs="細明體" w:hint="eastAsia"/>
                <w:kern w:val="0"/>
                <w:szCs w:val="24"/>
              </w:rPr>
              <w:t>八</w:t>
            </w:r>
            <w:r>
              <w:rPr>
                <w:rFonts w:ascii="Times New Roman" w:eastAsia="標楷體" w:hAnsi="標楷體" w:hint="eastAsia"/>
              </w:rPr>
              <w:t>條</w:t>
            </w:r>
          </w:p>
          <w:p w:rsidR="0074174E" w:rsidRDefault="0074174E"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2118B">
              <w:rPr>
                <w:rFonts w:ascii="標楷體" w:eastAsia="標楷體" w:hAnsi="標楷體" w:cs="細明體"/>
                <w:kern w:val="0"/>
                <w:szCs w:val="24"/>
              </w:rPr>
              <w:t>證券商受僱人到外執行業務，及在本公司市場所為之一切行為，證券商應負完全責任</w:t>
            </w:r>
            <w:r>
              <w:rPr>
                <w:rFonts w:ascii="標楷體" w:eastAsia="標楷體" w:hAnsi="標楷體" w:cs="細明體" w:hint="eastAsia"/>
                <w:kern w:val="0"/>
                <w:szCs w:val="24"/>
              </w:rPr>
              <w:t>。</w:t>
            </w:r>
          </w:p>
          <w:p w:rsidR="0074174E" w:rsidRPr="00953B8A" w:rsidRDefault="0074174E"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color w:val="FF0000"/>
              </w:rPr>
            </w:pPr>
            <w:r w:rsidRPr="0062118B">
              <w:rPr>
                <w:rFonts w:ascii="標楷體" w:eastAsia="標楷體" w:hAnsi="標楷體" w:cs="細明體"/>
                <w:color w:val="000000"/>
                <w:kern w:val="0"/>
                <w:szCs w:val="24"/>
              </w:rPr>
              <w:t>前項人員對</w:t>
            </w:r>
            <w:r w:rsidRPr="0034473F">
              <w:rPr>
                <w:rFonts w:ascii="標楷體" w:eastAsia="標楷體" w:hAnsi="標楷體" w:cs="細明體"/>
                <w:color w:val="000000"/>
                <w:kern w:val="0"/>
                <w:szCs w:val="24"/>
                <w:u w:val="single"/>
              </w:rPr>
              <w:t>本公司</w:t>
            </w:r>
            <w:r w:rsidRPr="0062118B">
              <w:rPr>
                <w:rFonts w:ascii="標楷體" w:eastAsia="標楷體" w:hAnsi="標楷體" w:cs="細明體"/>
                <w:color w:val="000000"/>
                <w:kern w:val="0"/>
                <w:szCs w:val="24"/>
                <w:u w:val="single"/>
              </w:rPr>
              <w:t>章程、</w:t>
            </w:r>
            <w:r w:rsidRPr="0062118B">
              <w:rPr>
                <w:rFonts w:ascii="標楷體" w:eastAsia="標楷體" w:hAnsi="標楷體" w:cs="細明體"/>
                <w:color w:val="000000"/>
                <w:kern w:val="0"/>
                <w:szCs w:val="24"/>
              </w:rPr>
              <w:t>本營業細則、市場公告及其他規定悉應遵守，不得諉為不知</w:t>
            </w:r>
            <w:r>
              <w:rPr>
                <w:rFonts w:ascii="標楷體" w:eastAsia="標楷體" w:hAnsi="標楷體" w:cs="細明體" w:hint="eastAsia"/>
                <w:color w:val="000000"/>
                <w:kern w:val="0"/>
                <w:szCs w:val="24"/>
              </w:rPr>
              <w:t>。</w:t>
            </w:r>
          </w:p>
        </w:tc>
        <w:tc>
          <w:tcPr>
            <w:tcW w:w="2232" w:type="dxa"/>
          </w:tcPr>
          <w:p w:rsidR="0074174E" w:rsidRPr="00460B54" w:rsidRDefault="0074174E" w:rsidP="00340E37">
            <w:pPr>
              <w:jc w:val="both"/>
            </w:pPr>
            <w:r>
              <w:rPr>
                <w:rFonts w:ascii="標楷體" w:eastAsia="標楷體" w:hAnsi="標楷體" w:hint="eastAsia"/>
                <w:szCs w:val="24"/>
              </w:rPr>
              <w:t>本公司章程已刪除第七章本公司集中交易市場之證券商(第三十一條第一項、第三十三條至三十八條)，爰配合修正本條第二項。</w:t>
            </w:r>
          </w:p>
        </w:tc>
      </w:tr>
      <w:tr w:rsidR="0074174E" w:rsidRPr="004879F8" w:rsidTr="0074174E">
        <w:tc>
          <w:tcPr>
            <w:tcW w:w="3136" w:type="dxa"/>
          </w:tcPr>
          <w:p w:rsidR="0074174E" w:rsidRDefault="0074174E" w:rsidP="004879F8">
            <w:pPr>
              <w:rPr>
                <w:rFonts w:ascii="Times New Roman" w:eastAsia="標楷體" w:hAnsi="標楷體"/>
              </w:rPr>
            </w:pPr>
            <w:r>
              <w:rPr>
                <w:rFonts w:ascii="Times New Roman" w:eastAsia="標楷體" w:hAnsi="標楷體" w:hint="eastAsia"/>
              </w:rPr>
              <w:t>第二十五條</w:t>
            </w:r>
          </w:p>
          <w:p w:rsidR="0074174E" w:rsidRDefault="0074174E" w:rsidP="00F02F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F02FDF">
              <w:rPr>
                <w:rFonts w:ascii="標楷體" w:eastAsia="標楷體" w:hAnsi="標楷體" w:cs="細明體"/>
                <w:color w:val="000000"/>
                <w:kern w:val="0"/>
                <w:szCs w:val="24"/>
              </w:rPr>
              <w:t>證券商應將所用帳簿及有關交易憑證、單據、表冊、契約，置於營業處所。</w:t>
            </w:r>
          </w:p>
          <w:p w:rsidR="0074174E" w:rsidRPr="00F02FDF" w:rsidRDefault="0074174E" w:rsidP="00F02F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F02FDF">
              <w:rPr>
                <w:rFonts w:ascii="標楷體" w:eastAsia="標楷體" w:hAnsi="標楷體" w:cs="細明體"/>
                <w:color w:val="000000"/>
                <w:kern w:val="0"/>
                <w:szCs w:val="24"/>
              </w:rPr>
              <w:t>本公司得派員檢查或查詢前項帳簿、交易憑證、單據、表冊、契約，證券商不得規避或拒絕；證券商並同意本公司得向財團法人金融聯合徵信中心查詢證券商於金融機構之授信資料。</w:t>
            </w:r>
          </w:p>
          <w:p w:rsidR="0074174E" w:rsidRPr="008839A3" w:rsidRDefault="0074174E" w:rsidP="00F02F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u w:val="single"/>
              </w:rPr>
            </w:pPr>
            <w:r w:rsidRPr="0034473F">
              <w:rPr>
                <w:rFonts w:ascii="標楷體" w:eastAsia="標楷體" w:hAnsi="標楷體" w:cs="細明體" w:hint="eastAsia"/>
                <w:color w:val="000000"/>
                <w:kern w:val="0"/>
                <w:szCs w:val="24"/>
                <w:u w:val="single"/>
              </w:rPr>
              <w:t>證券商規避、拒絕檢查之認定標準及其處理程序，由本公司另訂之。</w:t>
            </w:r>
          </w:p>
          <w:p w:rsidR="0074174E" w:rsidRPr="008839A3" w:rsidRDefault="0074174E" w:rsidP="00BB3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r w:rsidRPr="0034473F">
              <w:rPr>
                <w:rFonts w:ascii="標楷體" w:eastAsia="標楷體" w:hAnsi="標楷體" w:cs="細明體" w:hint="eastAsia"/>
                <w:color w:val="000000"/>
                <w:kern w:val="0"/>
                <w:szCs w:val="24"/>
                <w:u w:val="single"/>
              </w:rPr>
              <w:t>第</w:t>
            </w:r>
            <w:r>
              <w:rPr>
                <w:rFonts w:ascii="標楷體" w:eastAsia="標楷體" w:hAnsi="標楷體" w:cs="細明體" w:hint="eastAsia"/>
                <w:color w:val="000000"/>
                <w:kern w:val="0"/>
                <w:szCs w:val="24"/>
                <w:u w:val="single"/>
              </w:rPr>
              <w:t>一</w:t>
            </w:r>
            <w:r w:rsidRPr="0034473F">
              <w:rPr>
                <w:rFonts w:ascii="標楷體" w:eastAsia="標楷體" w:hAnsi="標楷體" w:cs="細明體"/>
                <w:color w:val="000000"/>
                <w:kern w:val="0"/>
                <w:szCs w:val="24"/>
                <w:u w:val="single"/>
              </w:rPr>
              <w:t>項</w:t>
            </w:r>
            <w:r w:rsidRPr="008839A3">
              <w:rPr>
                <w:rFonts w:ascii="標楷體" w:eastAsia="標楷體" w:hAnsi="標楷體" w:cs="細明體"/>
                <w:color w:val="000000"/>
                <w:kern w:val="0"/>
                <w:szCs w:val="24"/>
              </w:rPr>
              <w:t>帳簿及有關交易憑證、單據、表冊、契約之保存年限，除商業會計法規定者外，依本公司訂定之證券商帳表憑證保存年限表規定。</w:t>
            </w:r>
          </w:p>
          <w:p w:rsidR="0074174E" w:rsidRDefault="0074174E" w:rsidP="00F02FDF">
            <w:pPr>
              <w:rPr>
                <w:rFonts w:ascii="Times New Roman" w:eastAsia="標楷體" w:hAnsi="標楷體"/>
              </w:rPr>
            </w:pPr>
            <w:r>
              <w:rPr>
                <w:rFonts w:ascii="Times New Roman" w:eastAsia="標楷體" w:hAnsi="標楷體" w:hint="eastAsia"/>
              </w:rPr>
              <w:t>(</w:t>
            </w:r>
            <w:r>
              <w:rPr>
                <w:rFonts w:ascii="Times New Roman" w:eastAsia="標楷體" w:hAnsi="標楷體" w:hint="eastAsia"/>
              </w:rPr>
              <w:t>以下略</w:t>
            </w:r>
            <w:r>
              <w:rPr>
                <w:rFonts w:ascii="Times New Roman" w:eastAsia="標楷體" w:hAnsi="標楷體" w:hint="eastAsia"/>
              </w:rPr>
              <w:t>)</w:t>
            </w:r>
          </w:p>
          <w:p w:rsidR="00C108F7" w:rsidRDefault="00C108F7" w:rsidP="00F02FDF">
            <w:pPr>
              <w:rPr>
                <w:rFonts w:ascii="Times New Roman" w:eastAsia="標楷體" w:hAnsi="標楷體"/>
              </w:rPr>
            </w:pPr>
          </w:p>
          <w:p w:rsidR="00C108F7" w:rsidRDefault="00C108F7" w:rsidP="00F02FDF">
            <w:pPr>
              <w:rPr>
                <w:rFonts w:ascii="Times New Roman" w:eastAsia="標楷體" w:hAnsi="標楷體"/>
              </w:rPr>
            </w:pPr>
          </w:p>
        </w:tc>
        <w:tc>
          <w:tcPr>
            <w:tcW w:w="3154" w:type="dxa"/>
          </w:tcPr>
          <w:p w:rsidR="0074174E" w:rsidRDefault="0074174E" w:rsidP="00121833">
            <w:pPr>
              <w:rPr>
                <w:rFonts w:ascii="Times New Roman" w:eastAsia="標楷體" w:hAnsi="標楷體"/>
              </w:rPr>
            </w:pPr>
            <w:r>
              <w:rPr>
                <w:rFonts w:ascii="Times New Roman" w:eastAsia="標楷體" w:hAnsi="標楷體" w:hint="eastAsia"/>
              </w:rPr>
              <w:t>第二十五條</w:t>
            </w:r>
          </w:p>
          <w:p w:rsidR="0074174E" w:rsidRDefault="0074174E" w:rsidP="0034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34473F">
              <w:rPr>
                <w:rFonts w:ascii="標楷體" w:eastAsia="標楷體" w:hAnsi="標楷體" w:cs="細明體"/>
                <w:color w:val="000000"/>
                <w:kern w:val="0"/>
                <w:szCs w:val="24"/>
              </w:rPr>
              <w:t>證券商應將所用帳簿及有關交易憑證、單據、表冊、契約，置於營業處所。</w:t>
            </w:r>
          </w:p>
          <w:p w:rsidR="0074174E" w:rsidRPr="0034473F" w:rsidRDefault="0074174E" w:rsidP="0034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34473F">
              <w:rPr>
                <w:rFonts w:ascii="標楷體" w:eastAsia="標楷體" w:hAnsi="標楷體" w:cs="細明體"/>
                <w:color w:val="000000"/>
                <w:kern w:val="0"/>
                <w:szCs w:val="24"/>
              </w:rPr>
              <w:t>本公司得派員檢查或查詢前項帳簿、交易憑證、單據、表冊、契約，證券商不得規避或拒絕；證券商並同意本公司得向財團法人金融聯合徵信中心查詢證券商於金融機構之授信資料。</w:t>
            </w:r>
          </w:p>
          <w:p w:rsidR="0074174E" w:rsidRPr="0034473F" w:rsidRDefault="0074174E" w:rsidP="0034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r w:rsidRPr="0034473F">
              <w:rPr>
                <w:rFonts w:ascii="標楷體" w:eastAsia="標楷體" w:hAnsi="標楷體" w:cs="細明體"/>
                <w:color w:val="000000"/>
                <w:kern w:val="0"/>
                <w:szCs w:val="24"/>
              </w:rPr>
              <w:t>前項帳簿及有關交易憑證、單據、表冊、契約之保存年限，除商業會計法規定者外，依本公司訂定之證券商帳表憑證保存年限表規定。</w:t>
            </w:r>
          </w:p>
          <w:p w:rsidR="0074174E" w:rsidRPr="0034473F" w:rsidRDefault="0074174E" w:rsidP="0034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p>
          <w:p w:rsidR="0074174E" w:rsidRDefault="0074174E" w:rsidP="008839A3">
            <w:pPr>
              <w:rPr>
                <w:rFonts w:ascii="Times New Roman" w:eastAsia="標楷體" w:hAnsi="標楷體"/>
              </w:rPr>
            </w:pPr>
            <w:r>
              <w:rPr>
                <w:rFonts w:ascii="Times New Roman" w:eastAsia="標楷體" w:hAnsi="標楷體" w:hint="eastAsia"/>
              </w:rPr>
              <w:t>(</w:t>
            </w:r>
            <w:r>
              <w:rPr>
                <w:rFonts w:ascii="Times New Roman" w:eastAsia="標楷體" w:hAnsi="標楷體" w:hint="eastAsia"/>
              </w:rPr>
              <w:t>以下略</w:t>
            </w:r>
            <w:r>
              <w:rPr>
                <w:rFonts w:ascii="Times New Roman" w:eastAsia="標楷體" w:hAnsi="標楷體" w:hint="eastAsia"/>
              </w:rPr>
              <w:t>)</w:t>
            </w:r>
          </w:p>
        </w:tc>
        <w:tc>
          <w:tcPr>
            <w:tcW w:w="2232" w:type="dxa"/>
          </w:tcPr>
          <w:p w:rsidR="0074174E" w:rsidRPr="0034473F" w:rsidRDefault="0074174E" w:rsidP="0034473F">
            <w:pPr>
              <w:pStyle w:val="aa"/>
              <w:numPr>
                <w:ilvl w:val="0"/>
                <w:numId w:val="5"/>
              </w:numPr>
              <w:ind w:leftChars="0"/>
              <w:jc w:val="both"/>
              <w:rPr>
                <w:rFonts w:ascii="標楷體" w:eastAsia="標楷體" w:hAnsi="標楷體"/>
                <w:szCs w:val="24"/>
              </w:rPr>
            </w:pPr>
            <w:r w:rsidRPr="0034473F">
              <w:rPr>
                <w:rFonts w:ascii="標楷體" w:eastAsia="標楷體" w:hAnsi="標楷體" w:hint="eastAsia"/>
                <w:szCs w:val="24"/>
              </w:rPr>
              <w:t>為明確本公司</w:t>
            </w:r>
            <w:r>
              <w:rPr>
                <w:rFonts w:ascii="標楷體" w:eastAsia="標楷體" w:hAnsi="標楷體" w:hint="eastAsia"/>
                <w:szCs w:val="24"/>
              </w:rPr>
              <w:t>「證券商規避、拒絕檢查之認定標準及處理程序」</w:t>
            </w:r>
            <w:r w:rsidRPr="0034473F">
              <w:rPr>
                <w:rFonts w:ascii="標楷體" w:eastAsia="標楷體" w:hAnsi="標楷體" w:hint="eastAsia"/>
                <w:szCs w:val="24"/>
              </w:rPr>
              <w:t>之</w:t>
            </w:r>
            <w:r>
              <w:rPr>
                <w:rFonts w:ascii="標楷體" w:eastAsia="標楷體" w:hAnsi="標楷體" w:hint="eastAsia"/>
                <w:szCs w:val="24"/>
              </w:rPr>
              <w:t>法源</w:t>
            </w:r>
            <w:r w:rsidRPr="0034473F">
              <w:rPr>
                <w:rFonts w:ascii="標楷體" w:eastAsia="標楷體" w:hAnsi="標楷體" w:hint="eastAsia"/>
                <w:szCs w:val="24"/>
              </w:rPr>
              <w:t>依據，爰增訂本條第三項文字。</w:t>
            </w:r>
          </w:p>
          <w:p w:rsidR="0074174E" w:rsidRPr="0034473F" w:rsidRDefault="0074174E" w:rsidP="0034473F">
            <w:pPr>
              <w:pStyle w:val="aa"/>
              <w:numPr>
                <w:ilvl w:val="0"/>
                <w:numId w:val="5"/>
              </w:numPr>
              <w:ind w:leftChars="0"/>
              <w:jc w:val="both"/>
              <w:rPr>
                <w:rFonts w:ascii="標楷體" w:eastAsia="標楷體" w:hAnsi="標楷體"/>
                <w:szCs w:val="24"/>
              </w:rPr>
            </w:pPr>
            <w:r w:rsidRPr="0034473F">
              <w:rPr>
                <w:rFonts w:ascii="標楷體" w:eastAsia="標楷體" w:hAnsi="標楷體" w:hint="eastAsia"/>
                <w:szCs w:val="24"/>
              </w:rPr>
              <w:t>原第三項以下項次依序調整。</w:t>
            </w:r>
          </w:p>
        </w:tc>
      </w:tr>
      <w:tr w:rsidR="0074174E" w:rsidRPr="004879F8" w:rsidTr="0074174E">
        <w:tc>
          <w:tcPr>
            <w:tcW w:w="3136" w:type="dxa"/>
          </w:tcPr>
          <w:p w:rsidR="0074174E" w:rsidRDefault="0074174E" w:rsidP="00CE5FDB">
            <w:pPr>
              <w:ind w:rightChars="47" w:right="113"/>
              <w:rPr>
                <w:rFonts w:ascii="Times New Roman" w:eastAsia="標楷體" w:hAnsi="標楷體"/>
              </w:rPr>
            </w:pPr>
            <w:r>
              <w:rPr>
                <w:rFonts w:ascii="Times New Roman" w:eastAsia="標楷體" w:hAnsi="標楷體" w:hint="eastAsia"/>
              </w:rPr>
              <w:lastRenderedPageBreak/>
              <w:t>第七十五條</w:t>
            </w:r>
          </w:p>
          <w:p w:rsidR="0074174E" w:rsidRDefault="0074174E"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kern w:val="0"/>
                <w:szCs w:val="24"/>
              </w:rPr>
            </w:pPr>
            <w:r w:rsidRPr="00FD2720">
              <w:rPr>
                <w:rFonts w:ascii="標楷體" w:eastAsia="標楷體" w:hAnsi="標楷體"/>
                <w:color w:val="000000"/>
              </w:rPr>
              <w:t>證券經紀商受託買賣有價證券，應依下列規定辦理之</w:t>
            </w:r>
            <w:r w:rsidRPr="00A732FD">
              <w:rPr>
                <w:rFonts w:ascii="Times New Roman" w:eastAsia="標楷體" w:hAnsi="標楷體"/>
                <w:kern w:val="0"/>
                <w:szCs w:val="24"/>
              </w:rPr>
              <w:t>：</w:t>
            </w:r>
          </w:p>
          <w:p w:rsidR="0074174E" w:rsidRPr="00E068CA" w:rsidRDefault="0074174E"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Times New Roman" w:eastAsia="標楷體" w:hAnsi="標楷體"/>
                <w:color w:val="FF0000"/>
                <w:kern w:val="0"/>
                <w:szCs w:val="24"/>
                <w:u w:val="single"/>
              </w:rPr>
            </w:pPr>
            <w:r w:rsidRPr="00FD2720">
              <w:rPr>
                <w:rFonts w:ascii="標楷體" w:eastAsia="標楷體" w:hAnsi="標楷體"/>
                <w:color w:val="000000"/>
              </w:rPr>
              <w:t>一、證券經紀商於受理開戶時，應先與委託人訂立受託契約，</w:t>
            </w:r>
            <w:r>
              <w:rPr>
                <w:rFonts w:ascii="標楷體" w:eastAsia="標楷體" w:hAnsi="標楷體" w:hint="eastAsia"/>
                <w:color w:val="000000"/>
                <w:u w:val="single"/>
              </w:rPr>
              <w:t>以</w:t>
            </w:r>
            <w:r w:rsidRPr="0034473F">
              <w:rPr>
                <w:rFonts w:ascii="標楷體" w:eastAsia="標楷體" w:hAnsi="標楷體" w:hint="eastAsia"/>
                <w:color w:val="000000"/>
                <w:u w:val="single"/>
              </w:rPr>
              <w:t>本</w:t>
            </w:r>
            <w:r w:rsidRPr="00E42695">
              <w:rPr>
                <w:rFonts w:ascii="標楷體" w:eastAsia="標楷體" w:hAnsi="標楷體" w:hint="eastAsia"/>
                <w:color w:val="000000"/>
                <w:u w:val="single"/>
              </w:rPr>
              <w:t>營業細則、</w:t>
            </w:r>
            <w:r>
              <w:rPr>
                <w:rFonts w:ascii="標楷體" w:eastAsia="標楷體" w:hAnsi="標楷體" w:hint="eastAsia"/>
                <w:color w:val="000000"/>
                <w:u w:val="single"/>
              </w:rPr>
              <w:t>本公司證券經紀商</w:t>
            </w:r>
            <w:r w:rsidRPr="0034473F">
              <w:rPr>
                <w:rFonts w:ascii="標楷體" w:eastAsia="標楷體" w:hAnsi="標楷體" w:hint="eastAsia"/>
                <w:color w:val="000000"/>
                <w:u w:val="single"/>
              </w:rPr>
              <w:t>受託契約準則</w:t>
            </w:r>
            <w:r>
              <w:rPr>
                <w:rFonts w:ascii="標楷體" w:eastAsia="標楷體" w:hAnsi="標楷體" w:hint="eastAsia"/>
                <w:color w:val="000000"/>
                <w:u w:val="single"/>
              </w:rPr>
              <w:t>(以下簡稱「受託契約準則」)</w:t>
            </w:r>
            <w:r w:rsidRPr="0034473F">
              <w:rPr>
                <w:rFonts w:ascii="標楷體" w:eastAsia="標楷體" w:hAnsi="標楷體" w:hint="eastAsia"/>
                <w:color w:val="000000"/>
                <w:u w:val="single"/>
              </w:rPr>
              <w:t>、</w:t>
            </w:r>
            <w:r w:rsidRPr="0034473F">
              <w:rPr>
                <w:rFonts w:ascii="標楷體" w:eastAsia="標楷體" w:hAnsi="標楷體"/>
                <w:color w:val="000000"/>
                <w:u w:val="single"/>
              </w:rPr>
              <w:t>公告</w:t>
            </w:r>
            <w:r w:rsidRPr="0034473F">
              <w:rPr>
                <w:rFonts w:ascii="標楷體" w:eastAsia="標楷體" w:hAnsi="標楷體" w:hint="eastAsia"/>
                <w:color w:val="000000"/>
                <w:u w:val="single"/>
              </w:rPr>
              <w:t>、</w:t>
            </w:r>
            <w:r w:rsidRPr="0034473F">
              <w:rPr>
                <w:rFonts w:ascii="標楷體" w:eastAsia="標楷體" w:hAnsi="標楷體"/>
                <w:color w:val="000000"/>
                <w:u w:val="single"/>
              </w:rPr>
              <w:t>通函</w:t>
            </w:r>
            <w:r w:rsidRPr="0034473F">
              <w:rPr>
                <w:rFonts w:ascii="標楷體" w:eastAsia="標楷體" w:hAnsi="標楷體" w:hint="eastAsia"/>
                <w:color w:val="000000"/>
                <w:u w:val="single"/>
              </w:rPr>
              <w:t>及</w:t>
            </w:r>
            <w:r w:rsidRPr="0034473F">
              <w:rPr>
                <w:rFonts w:ascii="標楷體" w:eastAsia="標楷體" w:hAnsi="標楷體"/>
                <w:color w:val="000000"/>
                <w:u w:val="single"/>
              </w:rPr>
              <w:t>證券商業同業公會規約</w:t>
            </w:r>
            <w:r w:rsidRPr="0034473F">
              <w:rPr>
                <w:rFonts w:ascii="標楷體" w:eastAsia="標楷體" w:hAnsi="標楷體" w:hint="eastAsia"/>
                <w:color w:val="000000"/>
                <w:u w:val="single"/>
              </w:rPr>
              <w:t>等為契約</w:t>
            </w:r>
            <w:r w:rsidRPr="0034473F">
              <w:rPr>
                <w:rFonts w:ascii="標楷體" w:eastAsia="標楷體" w:hAnsi="標楷體"/>
                <w:color w:val="000000"/>
                <w:u w:val="single"/>
              </w:rPr>
              <w:t>之一部</w:t>
            </w:r>
            <w:r w:rsidRPr="0034473F">
              <w:rPr>
                <w:rFonts w:ascii="標楷體" w:eastAsia="標楷體" w:hAnsi="標楷體" w:hint="eastAsia"/>
                <w:color w:val="000000"/>
                <w:u w:val="single"/>
              </w:rPr>
              <w:t>分</w:t>
            </w:r>
            <w:r w:rsidRPr="00FD2720">
              <w:rPr>
                <w:rFonts w:ascii="標楷體" w:eastAsia="標楷體" w:hAnsi="標楷體"/>
                <w:color w:val="000000"/>
              </w:rPr>
              <w:t>，載明開戶日期及下列事項</w:t>
            </w:r>
            <w:r>
              <w:rPr>
                <w:rFonts w:ascii="標楷體" w:eastAsia="標楷體" w:hAnsi="標楷體" w:hint="eastAsia"/>
                <w:color w:val="000000"/>
              </w:rPr>
              <w:t>：</w:t>
            </w:r>
          </w:p>
          <w:p w:rsidR="0074174E" w:rsidRPr="00460B54" w:rsidRDefault="0074174E" w:rsidP="005F2589">
            <w:pPr>
              <w:rPr>
                <w:rFonts w:ascii="Times New Roman" w:eastAsia="標楷體" w:hAnsi="標楷體"/>
              </w:rPr>
            </w:pPr>
            <w:r>
              <w:rPr>
                <w:rFonts w:ascii="Times New Roman" w:eastAsia="標楷體" w:hAnsi="標楷體" w:hint="eastAsia"/>
              </w:rPr>
              <w:t>(</w:t>
            </w:r>
            <w:r>
              <w:rPr>
                <w:rFonts w:ascii="Times New Roman" w:eastAsia="標楷體" w:hAnsi="標楷體" w:hint="eastAsia"/>
                <w:kern w:val="0"/>
                <w:szCs w:val="24"/>
              </w:rPr>
              <w:t>第二</w:t>
            </w:r>
            <w:r w:rsidRPr="00A732FD">
              <w:rPr>
                <w:rFonts w:ascii="Times New Roman" w:eastAsia="標楷體" w:hAnsi="標楷體" w:hint="eastAsia"/>
              </w:rPr>
              <w:t>項</w:t>
            </w:r>
            <w:r>
              <w:rPr>
                <w:rFonts w:ascii="Times New Roman" w:eastAsia="標楷體" w:hAnsi="標楷體" w:hint="eastAsia"/>
                <w:kern w:val="0"/>
                <w:szCs w:val="24"/>
              </w:rPr>
              <w:t>至第十</w:t>
            </w:r>
            <w:r w:rsidRPr="00A732FD">
              <w:rPr>
                <w:rFonts w:ascii="Times New Roman" w:eastAsia="標楷體" w:hAnsi="標楷體" w:hint="eastAsia"/>
              </w:rPr>
              <w:t>項</w:t>
            </w:r>
            <w:r>
              <w:rPr>
                <w:rFonts w:ascii="Times New Roman" w:eastAsia="標楷體" w:hAnsi="標楷體" w:hint="eastAsia"/>
                <w:kern w:val="0"/>
                <w:szCs w:val="24"/>
              </w:rPr>
              <w:t>略</w:t>
            </w:r>
            <w:r>
              <w:rPr>
                <w:rFonts w:ascii="Times New Roman" w:eastAsia="標楷體" w:hAnsi="標楷體" w:hint="eastAsia"/>
                <w:kern w:val="0"/>
                <w:szCs w:val="24"/>
              </w:rPr>
              <w:t>)</w:t>
            </w:r>
          </w:p>
        </w:tc>
        <w:tc>
          <w:tcPr>
            <w:tcW w:w="3154" w:type="dxa"/>
          </w:tcPr>
          <w:p w:rsidR="0074174E" w:rsidRDefault="0074174E" w:rsidP="00CE5FDB">
            <w:pPr>
              <w:ind w:rightChars="47" w:right="113"/>
              <w:rPr>
                <w:rFonts w:ascii="Times New Roman" w:eastAsia="標楷體" w:hAnsi="標楷體"/>
              </w:rPr>
            </w:pPr>
            <w:r>
              <w:rPr>
                <w:rFonts w:ascii="Times New Roman" w:eastAsia="標楷體" w:hAnsi="標楷體" w:hint="eastAsia"/>
              </w:rPr>
              <w:t>第七十五條</w:t>
            </w:r>
          </w:p>
          <w:p w:rsidR="0074174E" w:rsidRDefault="0074174E"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kern w:val="0"/>
                <w:szCs w:val="24"/>
              </w:rPr>
            </w:pPr>
            <w:r w:rsidRPr="00FD2720">
              <w:rPr>
                <w:rFonts w:ascii="標楷體" w:eastAsia="標楷體" w:hAnsi="標楷體"/>
                <w:color w:val="000000"/>
              </w:rPr>
              <w:t>證券經紀商受託買賣有價證券，應依下列規定辦理之</w:t>
            </w:r>
            <w:r w:rsidRPr="00A732FD">
              <w:rPr>
                <w:rFonts w:ascii="Times New Roman" w:eastAsia="標楷體" w:hAnsi="標楷體"/>
                <w:kern w:val="0"/>
                <w:szCs w:val="24"/>
              </w:rPr>
              <w:t>：</w:t>
            </w:r>
          </w:p>
          <w:p w:rsidR="0074174E" w:rsidRPr="0029419F" w:rsidRDefault="0074174E"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Times New Roman" w:eastAsia="標楷體" w:hAnsi="標楷體"/>
                <w:kern w:val="0"/>
                <w:szCs w:val="24"/>
              </w:rPr>
            </w:pPr>
            <w:r w:rsidRPr="00FD2720">
              <w:rPr>
                <w:rFonts w:ascii="標楷體" w:eastAsia="標楷體" w:hAnsi="標楷體"/>
                <w:color w:val="000000"/>
              </w:rPr>
              <w:t>一、證券經紀商於受理開戶時，應先與委託人訂立受託契約，認定以本</w:t>
            </w:r>
            <w:r w:rsidRPr="00D27120">
              <w:rPr>
                <w:rFonts w:ascii="標楷體" w:eastAsia="標楷體" w:hAnsi="標楷體"/>
                <w:color w:val="000000"/>
              </w:rPr>
              <w:t>公司</w:t>
            </w:r>
            <w:r w:rsidRPr="0034473F">
              <w:rPr>
                <w:rFonts w:ascii="標楷體" w:eastAsia="標楷體" w:hAnsi="標楷體"/>
                <w:color w:val="000000"/>
              </w:rPr>
              <w:t>章程、</w:t>
            </w:r>
            <w:r w:rsidRPr="00FD2720">
              <w:rPr>
                <w:rFonts w:ascii="標楷體" w:eastAsia="標楷體" w:hAnsi="標楷體"/>
                <w:color w:val="000000"/>
              </w:rPr>
              <w:t>營業細則、公告、通函、證券商業同業公會規約及</w:t>
            </w:r>
            <w:r>
              <w:rPr>
                <w:rFonts w:ascii="標楷體" w:eastAsia="標楷體" w:hAnsi="標楷體"/>
                <w:color w:val="000000"/>
              </w:rPr>
              <w:t>證券經紀商</w:t>
            </w:r>
            <w:r w:rsidRPr="00FD2720">
              <w:rPr>
                <w:rFonts w:ascii="標楷體" w:eastAsia="標楷體" w:hAnsi="標楷體"/>
                <w:color w:val="000000"/>
              </w:rPr>
              <w:t>受託契約準則等為契約之一部，載明開戶日期及下列事項：</w:t>
            </w:r>
          </w:p>
          <w:p w:rsidR="0074174E" w:rsidRPr="00E16CB4" w:rsidRDefault="0074174E" w:rsidP="005F2589">
            <w:pPr>
              <w:jc w:val="both"/>
              <w:rPr>
                <w:rFonts w:ascii="Times New Roman" w:eastAsia="標楷體" w:hAnsi="標楷體"/>
              </w:rPr>
            </w:pPr>
            <w:r>
              <w:rPr>
                <w:rFonts w:ascii="Times New Roman" w:eastAsia="標楷體" w:hAnsi="標楷體" w:hint="eastAsia"/>
              </w:rPr>
              <w:t>(</w:t>
            </w:r>
            <w:r>
              <w:rPr>
                <w:rFonts w:ascii="Times New Roman" w:eastAsia="標楷體" w:hAnsi="標楷體" w:hint="eastAsia"/>
                <w:kern w:val="0"/>
                <w:szCs w:val="24"/>
              </w:rPr>
              <w:t>第二</w:t>
            </w:r>
            <w:r w:rsidRPr="00A732FD">
              <w:rPr>
                <w:rFonts w:ascii="Times New Roman" w:eastAsia="標楷體" w:hAnsi="標楷體" w:hint="eastAsia"/>
              </w:rPr>
              <w:t>項</w:t>
            </w:r>
            <w:r>
              <w:rPr>
                <w:rFonts w:ascii="Times New Roman" w:eastAsia="標楷體" w:hAnsi="標楷體" w:hint="eastAsia"/>
                <w:kern w:val="0"/>
                <w:szCs w:val="24"/>
              </w:rPr>
              <w:t>至第十</w:t>
            </w:r>
            <w:r w:rsidRPr="00A732FD">
              <w:rPr>
                <w:rFonts w:ascii="Times New Roman" w:eastAsia="標楷體" w:hAnsi="標楷體" w:hint="eastAsia"/>
              </w:rPr>
              <w:t>項</w:t>
            </w:r>
            <w:r>
              <w:rPr>
                <w:rFonts w:ascii="Times New Roman" w:eastAsia="標楷體" w:hAnsi="標楷體" w:hint="eastAsia"/>
                <w:kern w:val="0"/>
                <w:szCs w:val="24"/>
              </w:rPr>
              <w:t>略</w:t>
            </w:r>
            <w:r>
              <w:rPr>
                <w:rFonts w:ascii="Times New Roman" w:eastAsia="標楷體" w:hAnsi="標楷體" w:hint="eastAsia"/>
                <w:kern w:val="0"/>
                <w:szCs w:val="24"/>
              </w:rPr>
              <w:t>)</w:t>
            </w:r>
          </w:p>
        </w:tc>
        <w:tc>
          <w:tcPr>
            <w:tcW w:w="2232" w:type="dxa"/>
          </w:tcPr>
          <w:p w:rsidR="0074174E" w:rsidRPr="0034473F" w:rsidRDefault="0074174E" w:rsidP="0034473F">
            <w:pPr>
              <w:pStyle w:val="aa"/>
              <w:numPr>
                <w:ilvl w:val="0"/>
                <w:numId w:val="7"/>
              </w:numPr>
              <w:ind w:leftChars="0"/>
              <w:jc w:val="both"/>
            </w:pPr>
            <w:r w:rsidRPr="0034473F">
              <w:rPr>
                <w:rFonts w:ascii="標楷體" w:eastAsia="標楷體" w:hAnsi="標楷體" w:hint="eastAsia"/>
                <w:szCs w:val="24"/>
              </w:rPr>
              <w:t>本公司章程已刪除第七章本公司集中交易市場之證券商</w:t>
            </w:r>
            <w:r>
              <w:rPr>
                <w:rFonts w:ascii="標楷體" w:eastAsia="標楷體" w:hAnsi="標楷體" w:hint="eastAsia"/>
                <w:szCs w:val="24"/>
              </w:rPr>
              <w:t>(第三十一條第一項、第三十三條至三十八條)</w:t>
            </w:r>
            <w:r w:rsidRPr="0034473F">
              <w:rPr>
                <w:rFonts w:ascii="標楷體" w:eastAsia="標楷體" w:hAnsi="標楷體" w:hint="eastAsia"/>
                <w:szCs w:val="24"/>
              </w:rPr>
              <w:t>，將證券商與本公司間權利義務之規範，回歸供給使用有價證券集中交易市場契約及相關管理章則，爰修正之。</w:t>
            </w:r>
          </w:p>
          <w:p w:rsidR="0074174E" w:rsidRDefault="0074174E" w:rsidP="0034473F">
            <w:pPr>
              <w:pStyle w:val="aa"/>
              <w:numPr>
                <w:ilvl w:val="0"/>
                <w:numId w:val="7"/>
              </w:numPr>
              <w:ind w:leftChars="0"/>
            </w:pPr>
            <w:r>
              <w:rPr>
                <w:rFonts w:ascii="標楷體" w:eastAsia="標楷體" w:hAnsi="標楷體" w:hint="eastAsia"/>
                <w:szCs w:val="24"/>
              </w:rPr>
              <w:t>考量規章用語一致性，文字略為調整。</w:t>
            </w:r>
          </w:p>
        </w:tc>
      </w:tr>
      <w:tr w:rsidR="0074174E" w:rsidRPr="004879F8" w:rsidTr="0074174E">
        <w:tc>
          <w:tcPr>
            <w:tcW w:w="3136" w:type="dxa"/>
          </w:tcPr>
          <w:p w:rsidR="0074174E" w:rsidRPr="000A461E" w:rsidRDefault="0074174E">
            <w:pPr>
              <w:rPr>
                <w:rFonts w:ascii="標楷體" w:eastAsia="標楷體" w:hAnsi="標楷體"/>
              </w:rPr>
            </w:pPr>
            <w:r w:rsidRPr="000A461E">
              <w:rPr>
                <w:rFonts w:ascii="標楷體" w:eastAsia="標楷體" w:hAnsi="標楷體" w:hint="eastAsia"/>
              </w:rPr>
              <w:t>第七十</w:t>
            </w:r>
            <w:r>
              <w:rPr>
                <w:rFonts w:ascii="標楷體" w:eastAsia="標楷體" w:hAnsi="標楷體" w:hint="eastAsia"/>
              </w:rPr>
              <w:t>六</w:t>
            </w:r>
            <w:r w:rsidRPr="000A461E">
              <w:rPr>
                <w:rFonts w:ascii="標楷體" w:eastAsia="標楷體" w:hAnsi="標楷體" w:hint="eastAsia"/>
              </w:rPr>
              <w:t>條</w:t>
            </w:r>
          </w:p>
          <w:p w:rsidR="0074174E" w:rsidRPr="00605AE8" w:rsidRDefault="0074174E">
            <w:pPr>
              <w:rPr>
                <w:rFonts w:ascii="標楷體" w:eastAsia="標楷體" w:hAnsi="標楷體" w:cs="新細明體"/>
                <w:kern w:val="0"/>
                <w:szCs w:val="24"/>
              </w:rPr>
            </w:pPr>
            <w:r w:rsidRPr="0034473F">
              <w:rPr>
                <w:rFonts w:ascii="標楷體" w:eastAsia="標楷體" w:hAnsi="標楷體" w:cs="細明體"/>
                <w:kern w:val="0"/>
                <w:szCs w:val="24"/>
              </w:rPr>
              <w:t>證券經紀商發現委託人有下列各款情事之一者，應拒絕接受開戶，已開戶</w:t>
            </w:r>
            <w:r w:rsidRPr="0034473F">
              <w:rPr>
                <w:rFonts w:ascii="標楷體" w:eastAsia="標楷體" w:hAnsi="標楷體" w:cs="新細明體"/>
                <w:kern w:val="0"/>
                <w:szCs w:val="24"/>
              </w:rPr>
              <w:t>者應拒絕接受委託買賣或申購有價證券：</w:t>
            </w:r>
          </w:p>
          <w:p w:rsidR="0074174E" w:rsidRPr="000A461E" w:rsidRDefault="0074174E" w:rsidP="000A46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rPr>
            </w:pPr>
            <w:r>
              <w:rPr>
                <w:rFonts w:ascii="標楷體" w:eastAsia="標楷體" w:hAnsi="標楷體" w:hint="eastAsia"/>
              </w:rPr>
              <w:t>ㄧ、</w:t>
            </w:r>
            <w:r w:rsidRPr="000A461E">
              <w:rPr>
                <w:rFonts w:ascii="標楷體" w:eastAsia="標楷體" w:hAnsi="標楷體"/>
              </w:rPr>
              <w:t>無行為能力人或限制行為能力人未經法定代理人之代理者。</w:t>
            </w:r>
          </w:p>
          <w:p w:rsidR="0074174E" w:rsidRPr="000A461E" w:rsidRDefault="0074174E" w:rsidP="000A461E">
            <w:pPr>
              <w:pStyle w:val="aa"/>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rPr>
            </w:pPr>
            <w:r w:rsidRPr="000A461E">
              <w:rPr>
                <w:rFonts w:ascii="標楷體" w:eastAsia="標楷體" w:hAnsi="標楷體"/>
              </w:rPr>
              <w:t>主管機關</w:t>
            </w:r>
            <w:r w:rsidR="00AE49EF" w:rsidRPr="00AE49EF">
              <w:rPr>
                <w:rFonts w:ascii="標楷體" w:eastAsia="標楷體" w:hAnsi="標楷體" w:hint="eastAsia"/>
                <w:u w:val="single"/>
              </w:rPr>
              <w:t>之</w:t>
            </w:r>
            <w:r w:rsidR="00AE49EF" w:rsidRPr="00AE49EF">
              <w:rPr>
                <w:rFonts w:ascii="標楷體" w:eastAsia="標楷體" w:hAnsi="標楷體"/>
                <w:u w:val="single"/>
              </w:rPr>
              <w:t>證券</w:t>
            </w:r>
            <w:r w:rsidR="00AE49EF" w:rsidRPr="00AE49EF">
              <w:rPr>
                <w:rFonts w:ascii="標楷體" w:eastAsia="標楷體" w:hAnsi="標楷體" w:hint="eastAsia"/>
                <w:u w:val="single"/>
              </w:rPr>
              <w:t>期貨局員工</w:t>
            </w:r>
            <w:r w:rsidRPr="003D15E1">
              <w:rPr>
                <w:rFonts w:ascii="標楷體" w:eastAsia="標楷體" w:hAnsi="標楷體"/>
                <w:u w:val="single"/>
              </w:rPr>
              <w:t>未檢具</w:t>
            </w:r>
            <w:r>
              <w:rPr>
                <w:rFonts w:ascii="標楷體" w:eastAsia="標楷體" w:hAnsi="標楷體" w:hint="eastAsia"/>
                <w:u w:val="single"/>
              </w:rPr>
              <w:t>其</w:t>
            </w:r>
            <w:r w:rsidRPr="003D15E1">
              <w:rPr>
                <w:rFonts w:ascii="標楷體" w:eastAsia="標楷體" w:hAnsi="標楷體"/>
                <w:u w:val="single"/>
              </w:rPr>
              <w:t>機關同意書者</w:t>
            </w:r>
            <w:r w:rsidRPr="00F31E78">
              <w:rPr>
                <w:rFonts w:ascii="標楷體" w:eastAsia="標楷體" w:hAnsi="標楷體"/>
              </w:rPr>
              <w:t>。</w:t>
            </w:r>
          </w:p>
          <w:p w:rsidR="0074174E" w:rsidRPr="000A461E" w:rsidRDefault="0074174E" w:rsidP="00030A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Times New Roman" w:eastAsia="標楷體" w:hAnsi="標楷體" w:hint="eastAsia"/>
              </w:rPr>
              <w:t>(</w:t>
            </w:r>
            <w:r>
              <w:rPr>
                <w:rFonts w:ascii="Times New Roman" w:eastAsia="標楷體" w:hAnsi="標楷體" w:hint="eastAsia"/>
              </w:rPr>
              <w:t>以下略</w:t>
            </w:r>
            <w:r>
              <w:rPr>
                <w:rFonts w:ascii="Times New Roman" w:eastAsia="標楷體" w:hAnsi="標楷體" w:hint="eastAsia"/>
                <w:kern w:val="0"/>
                <w:szCs w:val="24"/>
              </w:rPr>
              <w:t>)</w:t>
            </w:r>
          </w:p>
        </w:tc>
        <w:tc>
          <w:tcPr>
            <w:tcW w:w="3154" w:type="dxa"/>
          </w:tcPr>
          <w:p w:rsidR="0074174E" w:rsidRPr="000A461E" w:rsidRDefault="0074174E">
            <w:pPr>
              <w:rPr>
                <w:rFonts w:ascii="標楷體" w:eastAsia="標楷體" w:hAnsi="標楷體"/>
              </w:rPr>
            </w:pPr>
            <w:r w:rsidRPr="000A461E">
              <w:rPr>
                <w:rFonts w:ascii="標楷體" w:eastAsia="標楷體" w:hAnsi="標楷體" w:hint="eastAsia"/>
              </w:rPr>
              <w:t>第七十</w:t>
            </w:r>
            <w:r>
              <w:rPr>
                <w:rFonts w:ascii="標楷體" w:eastAsia="標楷體" w:hAnsi="標楷體" w:hint="eastAsia"/>
              </w:rPr>
              <w:t>六</w:t>
            </w:r>
            <w:r w:rsidRPr="000A461E">
              <w:rPr>
                <w:rFonts w:ascii="標楷體" w:eastAsia="標楷體" w:hAnsi="標楷體" w:hint="eastAsia"/>
              </w:rPr>
              <w:t>條</w:t>
            </w:r>
          </w:p>
          <w:p w:rsidR="0074174E" w:rsidRPr="00605AE8" w:rsidRDefault="0074174E">
            <w:pPr>
              <w:rPr>
                <w:rFonts w:ascii="標楷體" w:eastAsia="標楷體" w:hAnsi="標楷體" w:cs="新細明體"/>
                <w:kern w:val="0"/>
                <w:szCs w:val="24"/>
              </w:rPr>
            </w:pPr>
            <w:r w:rsidRPr="0034473F">
              <w:rPr>
                <w:rFonts w:ascii="標楷體" w:eastAsia="標楷體" w:hAnsi="標楷體" w:cs="細明體"/>
                <w:kern w:val="0"/>
                <w:szCs w:val="24"/>
              </w:rPr>
              <w:t>證券經紀商發現委託人有下列各款情事之一者，應拒絕接受開戶，已開戶</w:t>
            </w:r>
            <w:r w:rsidRPr="0034473F">
              <w:rPr>
                <w:rFonts w:ascii="標楷體" w:eastAsia="標楷體" w:hAnsi="標楷體" w:cs="新細明體"/>
                <w:kern w:val="0"/>
                <w:szCs w:val="24"/>
              </w:rPr>
              <w:t>者應拒絕接受委託買賣或申購有價證券：</w:t>
            </w:r>
          </w:p>
          <w:p w:rsidR="0074174E" w:rsidRPr="000A461E" w:rsidRDefault="0074174E" w:rsidP="000A46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rPr>
            </w:pPr>
            <w:r w:rsidRPr="000A461E">
              <w:rPr>
                <w:rFonts w:ascii="標楷體" w:eastAsia="標楷體" w:hAnsi="標楷體" w:hint="eastAsia"/>
              </w:rPr>
              <w:t>ㄧ、</w:t>
            </w:r>
            <w:r w:rsidRPr="000A461E">
              <w:rPr>
                <w:rFonts w:ascii="標楷體" w:eastAsia="標楷體" w:hAnsi="標楷體"/>
              </w:rPr>
              <w:t>無行為能力人或限制行為能力人未經法定代理人之代理者。</w:t>
            </w:r>
          </w:p>
          <w:p w:rsidR="0074174E" w:rsidRPr="000A461E" w:rsidRDefault="0074174E" w:rsidP="00F41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rPr>
            </w:pPr>
            <w:r w:rsidRPr="000A461E">
              <w:rPr>
                <w:rFonts w:ascii="標楷體" w:eastAsia="標楷體" w:hAnsi="標楷體" w:hint="eastAsia"/>
              </w:rPr>
              <w:t>二、</w:t>
            </w:r>
            <w:r w:rsidRPr="009B75EA">
              <w:rPr>
                <w:rFonts w:ascii="標楷體" w:eastAsia="標楷體" w:hAnsi="標楷體"/>
                <w:u w:val="single"/>
              </w:rPr>
              <w:t>證券</w:t>
            </w:r>
            <w:r w:rsidRPr="000A461E">
              <w:rPr>
                <w:rFonts w:ascii="標楷體" w:eastAsia="標楷體" w:hAnsi="標楷體"/>
              </w:rPr>
              <w:t>主管機關</w:t>
            </w:r>
            <w:r w:rsidRPr="009B75EA">
              <w:rPr>
                <w:rFonts w:ascii="標楷體" w:eastAsia="標楷體" w:hAnsi="標楷體"/>
                <w:u w:val="single"/>
              </w:rPr>
              <w:t>職員雇員</w:t>
            </w:r>
            <w:r w:rsidRPr="000A461E">
              <w:rPr>
                <w:rFonts w:ascii="標楷體" w:eastAsia="標楷體" w:hAnsi="標楷體"/>
              </w:rPr>
              <w:t>。</w:t>
            </w:r>
          </w:p>
          <w:p w:rsidR="0074174E" w:rsidRDefault="0074174E">
            <w:pPr>
              <w:rPr>
                <w:rFonts w:ascii="標楷體" w:eastAsia="標楷體" w:hAnsi="標楷體"/>
              </w:rPr>
            </w:pPr>
          </w:p>
          <w:p w:rsidR="0074174E" w:rsidRPr="000A461E" w:rsidRDefault="0074174E" w:rsidP="004D6DC3">
            <w:pPr>
              <w:rPr>
                <w:rFonts w:ascii="標楷體" w:eastAsia="標楷體" w:hAnsi="標楷體"/>
              </w:rPr>
            </w:pPr>
            <w:r>
              <w:rPr>
                <w:rFonts w:ascii="Times New Roman" w:eastAsia="標楷體" w:hAnsi="標楷體" w:hint="eastAsia"/>
              </w:rPr>
              <w:t>(</w:t>
            </w:r>
            <w:r>
              <w:rPr>
                <w:rFonts w:ascii="Times New Roman" w:eastAsia="標楷體" w:hAnsi="標楷體" w:hint="eastAsia"/>
                <w:kern w:val="0"/>
                <w:szCs w:val="24"/>
              </w:rPr>
              <w:t>以下略</w:t>
            </w:r>
            <w:r>
              <w:rPr>
                <w:rFonts w:ascii="Times New Roman" w:eastAsia="標楷體" w:hAnsi="標楷體" w:hint="eastAsia"/>
                <w:kern w:val="0"/>
                <w:szCs w:val="24"/>
              </w:rPr>
              <w:t>)</w:t>
            </w:r>
          </w:p>
        </w:tc>
        <w:tc>
          <w:tcPr>
            <w:tcW w:w="2232" w:type="dxa"/>
          </w:tcPr>
          <w:p w:rsidR="0074174E" w:rsidRPr="00B40D15" w:rsidRDefault="00B40D15">
            <w:pPr>
              <w:jc w:val="both"/>
              <w:rPr>
                <w:rFonts w:ascii="Times New Roman" w:eastAsia="標楷體" w:hAnsi="標楷體"/>
                <w:color w:val="000000" w:themeColor="text1"/>
                <w:szCs w:val="24"/>
              </w:rPr>
            </w:pPr>
            <w:r w:rsidRPr="00B40D15">
              <w:rPr>
                <w:rFonts w:ascii="標楷體" w:eastAsia="標楷體" w:hAnsi="標楷體" w:cs="細明體" w:hint="eastAsia"/>
                <w:color w:val="000000" w:themeColor="text1"/>
                <w:kern w:val="0"/>
                <w:szCs w:val="24"/>
              </w:rPr>
              <w:t>配合金融監督管理委員會證</w:t>
            </w:r>
            <w:r w:rsidR="00D300D4">
              <w:rPr>
                <w:rFonts w:ascii="標楷體" w:eastAsia="標楷體" w:hAnsi="標楷體" w:cs="細明體" w:hint="eastAsia"/>
                <w:color w:val="000000" w:themeColor="text1"/>
                <w:kern w:val="0"/>
                <w:szCs w:val="24"/>
              </w:rPr>
              <w:t>券</w:t>
            </w:r>
            <w:r w:rsidRPr="00B40D15">
              <w:rPr>
                <w:rFonts w:ascii="標楷體" w:eastAsia="標楷體" w:hAnsi="標楷體" w:cs="細明體" w:hint="eastAsia"/>
                <w:color w:val="000000" w:themeColor="text1"/>
                <w:kern w:val="0"/>
                <w:szCs w:val="24"/>
              </w:rPr>
              <w:t>期</w:t>
            </w:r>
            <w:r w:rsidR="00D300D4">
              <w:rPr>
                <w:rFonts w:ascii="標楷體" w:eastAsia="標楷體" w:hAnsi="標楷體" w:cs="細明體" w:hint="eastAsia"/>
                <w:color w:val="000000" w:themeColor="text1"/>
                <w:kern w:val="0"/>
                <w:szCs w:val="24"/>
              </w:rPr>
              <w:t>貨</w:t>
            </w:r>
            <w:r w:rsidRPr="00B40D15">
              <w:rPr>
                <w:rFonts w:ascii="標楷體" w:eastAsia="標楷體" w:hAnsi="標楷體" w:cs="細明體" w:hint="eastAsia"/>
                <w:color w:val="000000" w:themeColor="text1"/>
                <w:kern w:val="0"/>
                <w:szCs w:val="24"/>
              </w:rPr>
              <w:t>局放寬其自律規範限制員工購買股票及其他金融商品範圍</w:t>
            </w:r>
            <w:r w:rsidRPr="00B40D15">
              <w:rPr>
                <w:rFonts w:ascii="標楷體" w:eastAsia="標楷體" w:hAnsi="標楷體" w:hint="eastAsia"/>
                <w:color w:val="000000" w:themeColor="text1"/>
                <w:kern w:val="0"/>
                <w:szCs w:val="24"/>
              </w:rPr>
              <w:t>，爰修正本條</w:t>
            </w:r>
            <w:r w:rsidRPr="00B40D15">
              <w:rPr>
                <w:rFonts w:ascii="標楷體" w:eastAsia="標楷體" w:hAnsi="標楷體" w:cs="新細明體" w:hint="eastAsia"/>
                <w:color w:val="000000" w:themeColor="text1"/>
                <w:kern w:val="0"/>
                <w:szCs w:val="24"/>
              </w:rPr>
              <w:t>第一項第二款規定。</w:t>
            </w:r>
          </w:p>
        </w:tc>
      </w:tr>
      <w:tr w:rsidR="0074174E" w:rsidRPr="004879F8" w:rsidTr="0074174E">
        <w:tc>
          <w:tcPr>
            <w:tcW w:w="3136" w:type="dxa"/>
          </w:tcPr>
          <w:p w:rsidR="0074174E" w:rsidRDefault="0074174E">
            <w:pPr>
              <w:rPr>
                <w:rFonts w:ascii="標楷體" w:eastAsia="標楷體" w:hAnsi="標楷體"/>
              </w:rPr>
            </w:pPr>
            <w:r>
              <w:rPr>
                <w:rFonts w:ascii="標楷體" w:eastAsia="標楷體" w:hAnsi="標楷體" w:hint="eastAsia"/>
              </w:rPr>
              <w:t>第八十二條</w:t>
            </w:r>
          </w:p>
          <w:p w:rsidR="0074174E" w:rsidRPr="00B04A4C" w:rsidRDefault="0074174E" w:rsidP="00B04A4C">
            <w:pPr>
              <w:rPr>
                <w:rFonts w:ascii="標楷體" w:eastAsia="標楷體" w:hAnsi="標楷體" w:cs="細明體"/>
                <w:kern w:val="0"/>
                <w:szCs w:val="24"/>
              </w:rPr>
            </w:pPr>
            <w:r w:rsidRPr="00B04A4C">
              <w:rPr>
                <w:rFonts w:ascii="標楷體" w:eastAsia="標楷體" w:hAnsi="標楷體" w:cs="細明體"/>
                <w:kern w:val="0"/>
                <w:szCs w:val="24"/>
              </w:rPr>
              <w:t>證券經紀商接受普通交割之買賣委託，於成交後應依</w:t>
            </w:r>
            <w:r>
              <w:rPr>
                <w:rFonts w:ascii="標楷體" w:eastAsia="標楷體" w:hAnsi="標楷體" w:cs="細明體" w:hint="eastAsia"/>
                <w:kern w:val="0"/>
                <w:szCs w:val="24"/>
              </w:rPr>
              <w:t>「</w:t>
            </w:r>
            <w:r w:rsidRPr="00B04A4C">
              <w:rPr>
                <w:rFonts w:ascii="標楷體" w:eastAsia="標楷體" w:hAnsi="標楷體" w:cs="細明體"/>
                <w:kern w:val="0"/>
                <w:szCs w:val="24"/>
              </w:rPr>
              <w:t>受託契約準則</w:t>
            </w:r>
            <w:r>
              <w:rPr>
                <w:rFonts w:ascii="標楷體" w:eastAsia="標楷體" w:hAnsi="標楷體" w:cs="細明體" w:hint="eastAsia"/>
                <w:kern w:val="0"/>
                <w:szCs w:val="24"/>
              </w:rPr>
              <w:t>」</w:t>
            </w:r>
            <w:r w:rsidRPr="00B04A4C">
              <w:rPr>
                <w:rFonts w:ascii="標楷體" w:eastAsia="標楷體" w:hAnsi="標楷體" w:cs="細明體"/>
                <w:kern w:val="0"/>
                <w:szCs w:val="24"/>
              </w:rPr>
              <w:t>第十二條規</w:t>
            </w:r>
            <w:r w:rsidRPr="00B04A4C">
              <w:rPr>
                <w:rFonts w:ascii="標楷體" w:eastAsia="標楷體" w:hAnsi="標楷體" w:cs="細明體"/>
                <w:kern w:val="0"/>
                <w:szCs w:val="24"/>
              </w:rPr>
              <w:lastRenderedPageBreak/>
              <w:t>定，收取買進應付價款、賣出之有價證券或依「有價證券當日沖銷交易作業辦法」收取買賣沖銷後之差價。</w:t>
            </w:r>
          </w:p>
          <w:p w:rsidR="0074174E" w:rsidRPr="00B04A4C" w:rsidRDefault="0074174E" w:rsidP="00B04A4C">
            <w:pPr>
              <w:rPr>
                <w:rFonts w:ascii="標楷體" w:eastAsia="標楷體" w:hAnsi="標楷體" w:cs="細明體"/>
                <w:kern w:val="0"/>
                <w:szCs w:val="24"/>
              </w:rPr>
            </w:pPr>
            <w:r w:rsidRPr="00B04A4C">
              <w:rPr>
                <w:rFonts w:ascii="標楷體" w:eastAsia="標楷體" w:hAnsi="標楷體" w:cs="細明體"/>
                <w:kern w:val="0"/>
                <w:szCs w:val="24"/>
              </w:rPr>
              <w:t>證券經紀商向本公司申報境外華僑及外國人與大陸地區投資人遲延交割，應依本公司訂定之「證券經紀商申報委託人遲延交割及違約案件處理作業要點」規定辦理，並應依其約定通知委託人或其保管機構。</w:t>
            </w:r>
          </w:p>
          <w:p w:rsidR="0074174E" w:rsidRPr="00B04A4C" w:rsidRDefault="0074174E" w:rsidP="00B04A4C">
            <w:pPr>
              <w:rPr>
                <w:rFonts w:ascii="標楷體" w:eastAsia="標楷體" w:hAnsi="標楷體" w:cs="細明體"/>
                <w:kern w:val="0"/>
                <w:szCs w:val="24"/>
              </w:rPr>
            </w:pPr>
            <w:r w:rsidRPr="00B04A4C">
              <w:rPr>
                <w:rFonts w:ascii="標楷體" w:eastAsia="標楷體" w:hAnsi="標楷體" w:cs="細明體"/>
                <w:kern w:val="0"/>
                <w:szCs w:val="24"/>
              </w:rPr>
              <w:t>信用交易之買賣委託，證券經紀商應依本公司</w:t>
            </w:r>
            <w:r>
              <w:rPr>
                <w:rFonts w:ascii="標楷體" w:eastAsia="標楷體" w:hAnsi="標楷體" w:cs="細明體" w:hint="eastAsia"/>
                <w:kern w:val="0"/>
                <w:szCs w:val="24"/>
              </w:rPr>
              <w:t>「</w:t>
            </w:r>
            <w:r w:rsidRPr="00B04A4C">
              <w:rPr>
                <w:rFonts w:ascii="標楷體" w:eastAsia="標楷體" w:hAnsi="標楷體" w:cs="細明體"/>
                <w:kern w:val="0"/>
                <w:szCs w:val="24"/>
              </w:rPr>
              <w:t>受託契約準則</w:t>
            </w:r>
            <w:r>
              <w:rPr>
                <w:rFonts w:ascii="標楷體" w:eastAsia="標楷體" w:hAnsi="標楷體" w:cs="細明體" w:hint="eastAsia"/>
                <w:kern w:val="0"/>
                <w:szCs w:val="24"/>
              </w:rPr>
              <w:t>」</w:t>
            </w:r>
            <w:r w:rsidRPr="00B04A4C">
              <w:rPr>
                <w:rFonts w:ascii="標楷體" w:eastAsia="標楷體" w:hAnsi="標楷體" w:cs="細明體"/>
                <w:kern w:val="0"/>
                <w:szCs w:val="24"/>
              </w:rPr>
              <w:t>第十二條規定，向委託人收取融資自備價款或融券保證金。</w:t>
            </w:r>
          </w:p>
          <w:p w:rsidR="0074174E" w:rsidRDefault="0074174E">
            <w:pPr>
              <w:rPr>
                <w:rFonts w:ascii="標楷體" w:eastAsia="標楷體" w:hAnsi="標楷體"/>
              </w:rPr>
            </w:pPr>
          </w:p>
          <w:p w:rsidR="0074174E" w:rsidRPr="00B04A4C" w:rsidRDefault="0074174E">
            <w:pPr>
              <w:rPr>
                <w:rFonts w:ascii="標楷體" w:eastAsia="標楷體" w:hAnsi="標楷體"/>
              </w:rPr>
            </w:pPr>
            <w:r>
              <w:rPr>
                <w:rFonts w:ascii="標楷體" w:eastAsia="標楷體" w:hAnsi="標楷體" w:hint="eastAsia"/>
              </w:rPr>
              <w:t>(第四項、第五項略)</w:t>
            </w:r>
          </w:p>
        </w:tc>
        <w:tc>
          <w:tcPr>
            <w:tcW w:w="3154" w:type="dxa"/>
          </w:tcPr>
          <w:p w:rsidR="0074174E" w:rsidRDefault="0074174E">
            <w:pPr>
              <w:rPr>
                <w:rFonts w:ascii="標楷體" w:eastAsia="標楷體" w:hAnsi="標楷體"/>
              </w:rPr>
            </w:pPr>
            <w:r>
              <w:rPr>
                <w:rFonts w:ascii="標楷體" w:eastAsia="標楷體" w:hAnsi="標楷體" w:hint="eastAsia"/>
              </w:rPr>
              <w:lastRenderedPageBreak/>
              <w:t>第八十二條</w:t>
            </w:r>
          </w:p>
          <w:p w:rsidR="0074174E" w:rsidRDefault="0074174E">
            <w:pPr>
              <w:rPr>
                <w:rFonts w:ascii="標楷體" w:eastAsia="標楷體" w:hAnsi="標楷體" w:cs="細明體"/>
                <w:kern w:val="0"/>
                <w:szCs w:val="24"/>
              </w:rPr>
            </w:pPr>
            <w:r w:rsidRPr="0034473F">
              <w:rPr>
                <w:rFonts w:ascii="標楷體" w:eastAsia="標楷體" w:hAnsi="標楷體" w:cs="細明體"/>
                <w:kern w:val="0"/>
                <w:szCs w:val="24"/>
              </w:rPr>
              <w:t>證券經紀商接受普通交割之買賣委託，於成交後應依「</w:t>
            </w:r>
            <w:r w:rsidRPr="0034473F">
              <w:rPr>
                <w:rFonts w:ascii="標楷體" w:eastAsia="標楷體" w:hAnsi="標楷體" w:cs="細明體"/>
                <w:kern w:val="0"/>
                <w:szCs w:val="24"/>
                <w:u w:val="single"/>
              </w:rPr>
              <w:t>證券經紀商</w:t>
            </w:r>
            <w:r w:rsidRPr="0034473F">
              <w:rPr>
                <w:rFonts w:ascii="標楷體" w:eastAsia="標楷體" w:hAnsi="標楷體" w:cs="細明體"/>
                <w:kern w:val="0"/>
                <w:szCs w:val="24"/>
              </w:rPr>
              <w:t>受託契約準則」第</w:t>
            </w:r>
            <w:r w:rsidRPr="0034473F">
              <w:rPr>
                <w:rFonts w:ascii="標楷體" w:eastAsia="標楷體" w:hAnsi="標楷體" w:cs="細明體"/>
                <w:kern w:val="0"/>
                <w:szCs w:val="24"/>
              </w:rPr>
              <w:lastRenderedPageBreak/>
              <w:t>十二條規定，收取買進應付價款、賣出之有價證券或依「有價證券當日沖銷交易作業辦法」收取買賣沖銷後之差價。</w:t>
            </w:r>
          </w:p>
          <w:p w:rsidR="0074174E" w:rsidRDefault="0074174E">
            <w:pPr>
              <w:rPr>
                <w:rFonts w:ascii="標楷體" w:eastAsia="標楷體" w:hAnsi="標楷體" w:cs="細明體"/>
                <w:kern w:val="0"/>
                <w:szCs w:val="24"/>
              </w:rPr>
            </w:pPr>
            <w:r w:rsidRPr="0034473F">
              <w:rPr>
                <w:rFonts w:ascii="標楷體" w:eastAsia="標楷體" w:hAnsi="標楷體" w:cs="細明體"/>
                <w:kern w:val="0"/>
                <w:szCs w:val="24"/>
              </w:rPr>
              <w:t>證券經紀商向本公司申報境外華僑及外國人與大陸地區投資人遲延交割，應依本公司訂定之「證券經紀商申報委託人遲延交割及違約案件處理作業要點」規定辦理，並應依其約定通知委託人或其保管機構。</w:t>
            </w:r>
          </w:p>
          <w:p w:rsidR="0074174E" w:rsidRDefault="0074174E">
            <w:pPr>
              <w:rPr>
                <w:rFonts w:ascii="標楷體" w:eastAsia="標楷體" w:hAnsi="標楷體" w:cs="細明體"/>
                <w:kern w:val="0"/>
                <w:szCs w:val="24"/>
              </w:rPr>
            </w:pPr>
            <w:r w:rsidRPr="0034473F">
              <w:rPr>
                <w:rFonts w:ascii="標楷體" w:eastAsia="標楷體" w:hAnsi="標楷體" w:cs="細明體"/>
                <w:kern w:val="0"/>
                <w:szCs w:val="24"/>
              </w:rPr>
              <w:t>信用交易之買賣委託，證券經紀商應依本公司「</w:t>
            </w:r>
            <w:r w:rsidRPr="0034473F">
              <w:rPr>
                <w:rFonts w:ascii="標楷體" w:eastAsia="標楷體" w:hAnsi="標楷體" w:cs="細明體"/>
                <w:kern w:val="0"/>
                <w:szCs w:val="24"/>
                <w:u w:val="single"/>
              </w:rPr>
              <w:t>證券經紀商</w:t>
            </w:r>
            <w:r w:rsidRPr="0034473F">
              <w:rPr>
                <w:rFonts w:ascii="標楷體" w:eastAsia="標楷體" w:hAnsi="標楷體" w:cs="細明體"/>
                <w:kern w:val="0"/>
                <w:szCs w:val="24"/>
              </w:rPr>
              <w:t>受託契約準則」第十二條規定，向委託人收取融資自備價款或融券保證金。</w:t>
            </w:r>
          </w:p>
          <w:p w:rsidR="0074174E" w:rsidRDefault="0074174E">
            <w:pPr>
              <w:rPr>
                <w:rFonts w:ascii="標楷體" w:eastAsia="標楷體" w:hAnsi="標楷體"/>
              </w:rPr>
            </w:pPr>
          </w:p>
          <w:p w:rsidR="0074174E" w:rsidRPr="00B04A4C" w:rsidRDefault="0074174E">
            <w:pPr>
              <w:rPr>
                <w:rFonts w:ascii="標楷體" w:eastAsia="標楷體" w:hAnsi="標楷體"/>
              </w:rPr>
            </w:pPr>
            <w:r>
              <w:rPr>
                <w:rFonts w:ascii="標楷體" w:eastAsia="標楷體" w:hAnsi="標楷體" w:hint="eastAsia"/>
              </w:rPr>
              <w:t>(第四項、第五項略)</w:t>
            </w:r>
          </w:p>
        </w:tc>
        <w:tc>
          <w:tcPr>
            <w:tcW w:w="2232" w:type="dxa"/>
          </w:tcPr>
          <w:p w:rsidR="0074174E" w:rsidRDefault="0074174E" w:rsidP="008621FF">
            <w:pPr>
              <w:rPr>
                <w:rFonts w:ascii="標楷體" w:eastAsia="標楷體" w:hAnsi="標楷體"/>
              </w:rPr>
            </w:pPr>
            <w:r>
              <w:rPr>
                <w:rFonts w:ascii="標楷體" w:eastAsia="標楷體" w:hAnsi="標楷體" w:hint="eastAsia"/>
              </w:rPr>
              <w:lastRenderedPageBreak/>
              <w:t>調整條文體例用語。</w:t>
            </w:r>
          </w:p>
        </w:tc>
      </w:tr>
      <w:tr w:rsidR="0074174E" w:rsidRPr="004879F8" w:rsidTr="0074174E">
        <w:tc>
          <w:tcPr>
            <w:tcW w:w="3136" w:type="dxa"/>
          </w:tcPr>
          <w:p w:rsidR="0074174E" w:rsidRDefault="0074174E" w:rsidP="00CE5FDB">
            <w:pPr>
              <w:rPr>
                <w:rFonts w:ascii="Times New Roman" w:eastAsia="標楷體" w:hAnsi="Times New Roman"/>
              </w:rPr>
            </w:pPr>
            <w:r>
              <w:rPr>
                <w:rFonts w:ascii="Times New Roman" w:eastAsia="標楷體" w:hAnsi="Times New Roman" w:hint="eastAsia"/>
              </w:rPr>
              <w:lastRenderedPageBreak/>
              <w:t>第一百三十五條</w:t>
            </w:r>
          </w:p>
          <w:p w:rsidR="0074174E" w:rsidRPr="00E22E21" w:rsidRDefault="0074174E" w:rsidP="00403585">
            <w:pPr>
              <w:jc w:val="both"/>
              <w:rPr>
                <w:rFonts w:ascii="Times New Roman" w:eastAsia="標楷體" w:hAnsi="標楷體"/>
                <w:color w:val="FF0000"/>
                <w:u w:val="single"/>
              </w:rPr>
            </w:pPr>
            <w:r w:rsidRPr="002805FB">
              <w:rPr>
                <w:rFonts w:ascii="標楷體" w:eastAsia="標楷體" w:hAnsi="標楷體" w:cs="細明體"/>
                <w:kern w:val="0"/>
                <w:szCs w:val="24"/>
              </w:rPr>
              <w:t>證券商違反第十三條、第十六條、第二十一條第二項、第二十三條、第二</w:t>
            </w:r>
            <w:r>
              <w:rPr>
                <w:rFonts w:ascii="標楷體" w:eastAsia="標楷體" w:hAnsi="標楷體" w:cs="細明體"/>
                <w:kern w:val="0"/>
                <w:szCs w:val="24"/>
              </w:rPr>
              <w:t>十五條第一項、第</w:t>
            </w:r>
            <w:r w:rsidRPr="0034473F">
              <w:rPr>
                <w:rFonts w:ascii="標楷體" w:eastAsia="標楷體" w:hAnsi="標楷體" w:cs="細明體" w:hint="eastAsia"/>
                <w:kern w:val="0"/>
                <w:szCs w:val="24"/>
                <w:u w:val="single"/>
              </w:rPr>
              <w:t>六</w:t>
            </w:r>
            <w:r>
              <w:rPr>
                <w:rFonts w:ascii="標楷體" w:eastAsia="標楷體" w:hAnsi="標楷體" w:cs="細明體"/>
                <w:kern w:val="0"/>
                <w:szCs w:val="24"/>
              </w:rPr>
              <w:t>項</w:t>
            </w:r>
            <w:r w:rsidRPr="002805FB">
              <w:rPr>
                <w:rFonts w:ascii="標楷體" w:eastAsia="標楷體" w:hAnsi="標楷體" w:cs="細明體"/>
                <w:kern w:val="0"/>
                <w:szCs w:val="24"/>
              </w:rPr>
              <w:t>、第二十八條之一第三項、第二十九條第一項、第三十三條、第四十條、第六十八條、第七十五條第一款、第二款、第三款、第六款、第八款、第七十五條之一第一項、第七十五條之二第一項、第七十六條、第七十九條之一、第八十條第二項、第三項、第四項、第八十條之一、第八十二條第四項、第八十五條第三項、第八十七條或第九十三</w:t>
            </w:r>
            <w:r w:rsidRPr="002805FB">
              <w:rPr>
                <w:rFonts w:ascii="標楷體" w:eastAsia="標楷體" w:hAnsi="標楷體" w:cs="細明體"/>
                <w:kern w:val="0"/>
                <w:szCs w:val="24"/>
              </w:rPr>
              <w:lastRenderedPageBreak/>
              <w:t>條第二項之規定者，本公司得通知其限期補正或改善。</w:t>
            </w:r>
            <w:r w:rsidRPr="00FA069D">
              <w:rPr>
                <w:rFonts w:ascii="標楷體" w:eastAsia="標楷體" w:hAnsi="標楷體" w:cs="細明體"/>
                <w:color w:val="000000"/>
                <w:kern w:val="0"/>
                <w:szCs w:val="24"/>
              </w:rPr>
              <w:t>證券商違反本營業細則、</w:t>
            </w:r>
            <w:r w:rsidRPr="0034473F">
              <w:rPr>
                <w:rFonts w:ascii="標楷體" w:eastAsia="標楷體" w:hAnsi="標楷體" w:cs="細明體" w:hint="eastAsia"/>
                <w:color w:val="000000"/>
                <w:kern w:val="0"/>
                <w:szCs w:val="24"/>
                <w:u w:val="single"/>
              </w:rPr>
              <w:t>「</w:t>
            </w:r>
            <w:r w:rsidRPr="00FA069D">
              <w:rPr>
                <w:rFonts w:ascii="標楷體" w:eastAsia="標楷體" w:hAnsi="標楷體" w:cs="細明體"/>
                <w:color w:val="000000"/>
                <w:kern w:val="0"/>
                <w:szCs w:val="24"/>
              </w:rPr>
              <w:t>受託契約準則</w:t>
            </w:r>
            <w:r w:rsidRPr="0034473F">
              <w:rPr>
                <w:rFonts w:ascii="標楷體" w:eastAsia="標楷體" w:hAnsi="標楷體" w:cs="細明體" w:hint="eastAsia"/>
                <w:color w:val="000000"/>
                <w:kern w:val="0"/>
                <w:szCs w:val="24"/>
                <w:u w:val="single"/>
              </w:rPr>
              <w:t>」</w:t>
            </w:r>
            <w:r w:rsidRPr="00FA069D">
              <w:rPr>
                <w:rFonts w:ascii="標楷體" w:eastAsia="標楷體" w:hAnsi="標楷體" w:cs="細明體"/>
                <w:color w:val="000000"/>
                <w:kern w:val="0"/>
                <w:szCs w:val="24"/>
              </w:rPr>
              <w:t>或</w:t>
            </w:r>
            <w:r w:rsidRPr="00E7316E">
              <w:rPr>
                <w:rFonts w:ascii="標楷體" w:eastAsia="標楷體" w:hAnsi="標楷體" w:cs="細明體" w:hint="eastAsia"/>
                <w:color w:val="000000"/>
                <w:kern w:val="0"/>
                <w:szCs w:val="24"/>
                <w:u w:val="single"/>
              </w:rPr>
              <w:t>本公司</w:t>
            </w:r>
            <w:r w:rsidRPr="00FA069D">
              <w:rPr>
                <w:rFonts w:ascii="標楷體" w:eastAsia="標楷體" w:hAnsi="標楷體" w:cs="細明體"/>
                <w:color w:val="000000"/>
                <w:kern w:val="0"/>
                <w:szCs w:val="24"/>
              </w:rPr>
              <w:t>其他章則、辦法、公</w:t>
            </w:r>
            <w:r w:rsidRPr="00FA069D">
              <w:rPr>
                <w:rFonts w:ascii="標楷體" w:eastAsia="標楷體" w:hAnsi="標楷體" w:cs="新細明體"/>
                <w:color w:val="000000"/>
                <w:kern w:val="0"/>
                <w:szCs w:val="24"/>
              </w:rPr>
              <w:t>告、通函等有關規定，除另有規定外，本公司得通知其限期補正或改善。</w:t>
            </w:r>
          </w:p>
        </w:tc>
        <w:tc>
          <w:tcPr>
            <w:tcW w:w="3154" w:type="dxa"/>
          </w:tcPr>
          <w:p w:rsidR="0074174E" w:rsidRDefault="0074174E" w:rsidP="00CE5FDB">
            <w:pPr>
              <w:rPr>
                <w:rFonts w:ascii="Times New Roman" w:eastAsia="標楷體" w:hAnsi="Times New Roman"/>
              </w:rPr>
            </w:pPr>
            <w:r>
              <w:rPr>
                <w:rFonts w:ascii="Times New Roman" w:eastAsia="標楷體" w:hAnsi="Times New Roman" w:hint="eastAsia"/>
              </w:rPr>
              <w:lastRenderedPageBreak/>
              <w:t>第一百三十五條</w:t>
            </w:r>
          </w:p>
          <w:p w:rsidR="0074174E" w:rsidRDefault="0074174E"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color w:val="000000"/>
                <w:kern w:val="0"/>
                <w:szCs w:val="24"/>
              </w:rPr>
            </w:pPr>
            <w:r w:rsidRPr="0034473F">
              <w:rPr>
                <w:rFonts w:ascii="標楷體" w:eastAsia="標楷體" w:hAnsi="標楷體" w:cs="細明體" w:hint="eastAsia"/>
                <w:kern w:val="0"/>
                <w:szCs w:val="24"/>
              </w:rPr>
              <w:t>證券商違反第十三條、第十六條、第二十一條第二項、第二十三條、第二十五條第一項、第五項、第二十八條之一第三項、第二十九條第一項、第三十三條、第四十</w:t>
            </w:r>
            <w:r w:rsidRPr="0034473F">
              <w:rPr>
                <w:rFonts w:ascii="標楷體" w:eastAsia="標楷體" w:hAnsi="標楷體" w:cs="細明體"/>
                <w:kern w:val="0"/>
                <w:szCs w:val="24"/>
              </w:rPr>
              <w:t>條、第六十八條、第七十五條第一款、第二款、第三款、第六款、第八款、第七十五條之一第一項、第七十五條之二第一項、第七十六條、第七十九條之一、第八十條第二項、第三項、第四項、第八十條之一、第八十二條第四項、第八十五條第三項、第八十七條或第九十三</w:t>
            </w:r>
            <w:r w:rsidRPr="0034473F">
              <w:rPr>
                <w:rFonts w:ascii="標楷體" w:eastAsia="標楷體" w:hAnsi="標楷體" w:cs="細明體"/>
                <w:kern w:val="0"/>
                <w:szCs w:val="24"/>
              </w:rPr>
              <w:lastRenderedPageBreak/>
              <w:t>條第二項之規定者，本公司得通知其限期補正或改善。</w:t>
            </w:r>
            <w:r w:rsidRPr="00FA069D">
              <w:rPr>
                <w:rFonts w:ascii="標楷體" w:eastAsia="標楷體" w:hAnsi="標楷體" w:cs="細明體"/>
                <w:color w:val="000000"/>
                <w:kern w:val="0"/>
                <w:szCs w:val="24"/>
              </w:rPr>
              <w:t>證券商違反本</w:t>
            </w:r>
            <w:r w:rsidRPr="0034473F">
              <w:rPr>
                <w:rFonts w:ascii="標楷體" w:eastAsia="標楷體" w:hAnsi="標楷體" w:cs="細明體"/>
                <w:color w:val="000000"/>
                <w:kern w:val="0"/>
                <w:szCs w:val="24"/>
                <w:u w:val="single"/>
              </w:rPr>
              <w:t>公司</w:t>
            </w:r>
            <w:r w:rsidRPr="00FA069D">
              <w:rPr>
                <w:rFonts w:ascii="標楷體" w:eastAsia="標楷體" w:hAnsi="標楷體" w:cs="細明體"/>
                <w:color w:val="000000"/>
                <w:kern w:val="0"/>
                <w:szCs w:val="24"/>
                <w:u w:val="single"/>
              </w:rPr>
              <w:t>章程、</w:t>
            </w:r>
            <w:r w:rsidRPr="00FA069D">
              <w:rPr>
                <w:rFonts w:ascii="標楷體" w:eastAsia="標楷體" w:hAnsi="標楷體" w:cs="細明體"/>
                <w:color w:val="000000"/>
                <w:kern w:val="0"/>
                <w:szCs w:val="24"/>
              </w:rPr>
              <w:t>營業細則、受託契約準則或其他章則、辦法、公</w:t>
            </w:r>
            <w:r w:rsidRPr="00FA069D">
              <w:rPr>
                <w:rFonts w:ascii="標楷體" w:eastAsia="標楷體" w:hAnsi="標楷體" w:cs="新細明體"/>
                <w:color w:val="000000"/>
                <w:kern w:val="0"/>
                <w:szCs w:val="24"/>
              </w:rPr>
              <w:t>告、通函等有關規定，除另有規定外，本公司得通知其限期補正或改善。</w:t>
            </w:r>
          </w:p>
          <w:p w:rsidR="0074174E" w:rsidRPr="00C90B1D" w:rsidRDefault="0074174E" w:rsidP="005F2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p>
        </w:tc>
        <w:tc>
          <w:tcPr>
            <w:tcW w:w="2232" w:type="dxa"/>
          </w:tcPr>
          <w:p w:rsidR="0074174E" w:rsidRPr="0034473F" w:rsidRDefault="0074174E" w:rsidP="0034473F">
            <w:pPr>
              <w:pStyle w:val="aa"/>
              <w:numPr>
                <w:ilvl w:val="0"/>
                <w:numId w:val="6"/>
              </w:numPr>
              <w:ind w:leftChars="0"/>
              <w:jc w:val="both"/>
              <w:rPr>
                <w:rFonts w:ascii="標楷體" w:eastAsia="標楷體" w:hAnsi="標楷體"/>
                <w:szCs w:val="24"/>
              </w:rPr>
            </w:pPr>
            <w:r w:rsidRPr="0034473F">
              <w:rPr>
                <w:rFonts w:ascii="標楷體" w:eastAsia="標楷體" w:hAnsi="標楷體" w:hint="eastAsia"/>
                <w:szCs w:val="24"/>
              </w:rPr>
              <w:lastRenderedPageBreak/>
              <w:t>配合本營業細則第二十五條增訂第三項，</w:t>
            </w:r>
            <w:r>
              <w:rPr>
                <w:rFonts w:ascii="標楷體" w:eastAsia="標楷體" w:hAnsi="標楷體" w:hint="eastAsia"/>
                <w:szCs w:val="24"/>
              </w:rPr>
              <w:t>原第三項以下項次依序調整，</w:t>
            </w:r>
            <w:r w:rsidRPr="0034473F">
              <w:rPr>
                <w:rFonts w:ascii="標楷體" w:eastAsia="標楷體" w:hAnsi="標楷體" w:hint="eastAsia"/>
                <w:szCs w:val="24"/>
              </w:rPr>
              <w:t>本條</w:t>
            </w:r>
            <w:r>
              <w:rPr>
                <w:rFonts w:ascii="標楷體" w:eastAsia="標楷體" w:hAnsi="標楷體" w:hint="eastAsia"/>
                <w:szCs w:val="24"/>
              </w:rPr>
              <w:t>第一項</w:t>
            </w:r>
            <w:r w:rsidRPr="0034473F">
              <w:rPr>
                <w:rFonts w:ascii="標楷體" w:eastAsia="標楷體" w:hAnsi="標楷體" w:hint="eastAsia"/>
                <w:szCs w:val="24"/>
              </w:rPr>
              <w:t>所引用第二十五條</w:t>
            </w:r>
            <w:r>
              <w:rPr>
                <w:rFonts w:ascii="標楷體" w:eastAsia="標楷體" w:hAnsi="標楷體" w:hint="eastAsia"/>
                <w:szCs w:val="24"/>
              </w:rPr>
              <w:t>原</w:t>
            </w:r>
            <w:r w:rsidRPr="0034473F">
              <w:rPr>
                <w:rFonts w:ascii="標楷體" w:eastAsia="標楷體" w:hAnsi="標楷體" w:hint="eastAsia"/>
                <w:szCs w:val="24"/>
              </w:rPr>
              <w:t>「第五項」</w:t>
            </w:r>
            <w:r>
              <w:rPr>
                <w:rFonts w:ascii="標楷體" w:eastAsia="標楷體" w:hAnsi="標楷體" w:hint="eastAsia"/>
                <w:szCs w:val="24"/>
              </w:rPr>
              <w:t>修正</w:t>
            </w:r>
            <w:r w:rsidRPr="0034473F">
              <w:rPr>
                <w:rFonts w:ascii="標楷體" w:eastAsia="標楷體" w:hAnsi="標楷體" w:hint="eastAsia"/>
                <w:szCs w:val="24"/>
              </w:rPr>
              <w:t>為「第六項」。</w:t>
            </w:r>
          </w:p>
          <w:p w:rsidR="0074174E" w:rsidRPr="0034473F" w:rsidRDefault="0074174E" w:rsidP="0034473F">
            <w:pPr>
              <w:pStyle w:val="aa"/>
              <w:numPr>
                <w:ilvl w:val="0"/>
                <w:numId w:val="6"/>
              </w:numPr>
              <w:ind w:leftChars="0"/>
              <w:jc w:val="both"/>
              <w:rPr>
                <w:rFonts w:ascii="Times New Roman" w:eastAsia="標楷體" w:hAnsi="Times New Roman"/>
              </w:rPr>
            </w:pPr>
            <w:r w:rsidRPr="0034473F">
              <w:rPr>
                <w:rFonts w:ascii="標楷體" w:eastAsia="標楷體" w:hAnsi="標楷體" w:hint="eastAsia"/>
                <w:szCs w:val="24"/>
              </w:rPr>
              <w:t>本公司章程已刪除第七章本公司集中交易市場之證券商</w:t>
            </w:r>
            <w:r>
              <w:rPr>
                <w:rFonts w:ascii="標楷體" w:eastAsia="標楷體" w:hAnsi="標楷體" w:hint="eastAsia"/>
                <w:szCs w:val="24"/>
              </w:rPr>
              <w:t>(第三十一條第一項、第三十三條至三十</w:t>
            </w:r>
            <w:r>
              <w:rPr>
                <w:rFonts w:ascii="標楷體" w:eastAsia="標楷體" w:hAnsi="標楷體" w:hint="eastAsia"/>
                <w:szCs w:val="24"/>
              </w:rPr>
              <w:lastRenderedPageBreak/>
              <w:t>八條)</w:t>
            </w:r>
            <w:r w:rsidRPr="0034473F">
              <w:rPr>
                <w:rFonts w:ascii="標楷體" w:eastAsia="標楷體" w:hAnsi="標楷體" w:hint="eastAsia"/>
                <w:szCs w:val="24"/>
              </w:rPr>
              <w:t>，將證券商與本公司間之權利義務，回歸供給使用有價證券集中交易市場契約及相關管理章則，爰配合修正</w:t>
            </w:r>
            <w:r>
              <w:rPr>
                <w:rFonts w:ascii="標楷體" w:eastAsia="標楷體" w:hAnsi="標楷體" w:hint="eastAsia"/>
                <w:szCs w:val="24"/>
              </w:rPr>
              <w:t>本條第二項</w:t>
            </w:r>
            <w:r w:rsidRPr="0034473F">
              <w:rPr>
                <w:rFonts w:ascii="標楷體" w:eastAsia="標楷體" w:hAnsi="標楷體" w:hint="eastAsia"/>
                <w:szCs w:val="24"/>
              </w:rPr>
              <w:t>。</w:t>
            </w:r>
          </w:p>
        </w:tc>
      </w:tr>
      <w:tr w:rsidR="0074174E" w:rsidRPr="004879F8" w:rsidTr="0074174E">
        <w:tc>
          <w:tcPr>
            <w:tcW w:w="3136" w:type="dxa"/>
          </w:tcPr>
          <w:p w:rsidR="0074174E" w:rsidRDefault="0074174E" w:rsidP="00732F3B">
            <w:pPr>
              <w:rPr>
                <w:rFonts w:ascii="Times New Roman" w:eastAsia="標楷體" w:hAnsi="Times New Roman"/>
              </w:rPr>
            </w:pPr>
            <w:r>
              <w:rPr>
                <w:rFonts w:ascii="Times New Roman" w:eastAsia="標楷體" w:hAnsi="Times New Roman" w:hint="eastAsia"/>
              </w:rPr>
              <w:lastRenderedPageBreak/>
              <w:t>第一百三十六條</w:t>
            </w:r>
          </w:p>
          <w:p w:rsidR="0074174E" w:rsidRPr="00732F3B" w:rsidRDefault="0074174E" w:rsidP="00732F3B">
            <w:pPr>
              <w:rPr>
                <w:rFonts w:ascii="標楷體" w:eastAsia="標楷體" w:hAnsi="標楷體" w:cs="細明體"/>
                <w:kern w:val="0"/>
                <w:szCs w:val="24"/>
              </w:rPr>
            </w:pPr>
            <w:r>
              <w:rPr>
                <w:rFonts w:ascii="標楷體" w:eastAsia="標楷體" w:hAnsi="標楷體" w:cs="細明體"/>
                <w:kern w:val="0"/>
                <w:szCs w:val="24"/>
              </w:rPr>
              <w:t>證券商違反第二十五條第</w:t>
            </w:r>
            <w:r w:rsidRPr="0034473F">
              <w:rPr>
                <w:rFonts w:ascii="標楷體" w:eastAsia="標楷體" w:hAnsi="標楷體" w:cs="細明體" w:hint="eastAsia"/>
                <w:kern w:val="0"/>
                <w:szCs w:val="24"/>
                <w:u w:val="single"/>
              </w:rPr>
              <w:t>四</w:t>
            </w:r>
            <w:r w:rsidRPr="00732F3B">
              <w:rPr>
                <w:rFonts w:ascii="標楷體" w:eastAsia="標楷體" w:hAnsi="標楷體" w:cs="細明體"/>
                <w:kern w:val="0"/>
                <w:szCs w:val="24"/>
              </w:rPr>
              <w:t>項、第二十六條、第五十八條第二項、第三項、第七十五條第十款、第七十五條之一第二項、第七十五條之二第二項、第七十七條之四、第八十條第五項、第八十一條、第八十二條第一項、第二項、第三項、第八十二條之一、第八十三條第二項、第九十一條第一項、第二項、第三項、第五項、第六項、第九十一條之一第二項、第九十二條第二項、第九十四條第二項、第三項、第一百十三條之一之規定或未依前條所定之期限補正或改善者，本公司得予以警告，並通知其限期補正或</w:t>
            </w:r>
          </w:p>
          <w:p w:rsidR="0074174E" w:rsidRDefault="0074174E" w:rsidP="00732F3B">
            <w:pPr>
              <w:rPr>
                <w:rFonts w:ascii="Times New Roman" w:eastAsia="標楷體" w:hAnsi="Times New Roman"/>
              </w:rPr>
            </w:pPr>
            <w:r w:rsidRPr="00732F3B">
              <w:rPr>
                <w:rFonts w:ascii="標楷體" w:eastAsia="標楷體" w:hAnsi="標楷體" w:cs="細明體"/>
                <w:kern w:val="0"/>
                <w:szCs w:val="24"/>
              </w:rPr>
              <w:t>改善。</w:t>
            </w:r>
          </w:p>
        </w:tc>
        <w:tc>
          <w:tcPr>
            <w:tcW w:w="3154" w:type="dxa"/>
          </w:tcPr>
          <w:p w:rsidR="0074174E" w:rsidRDefault="0074174E" w:rsidP="00CE5FDB">
            <w:pPr>
              <w:rPr>
                <w:rFonts w:ascii="Times New Roman" w:eastAsia="標楷體" w:hAnsi="Times New Roman"/>
              </w:rPr>
            </w:pPr>
            <w:r>
              <w:rPr>
                <w:rFonts w:ascii="Times New Roman" w:eastAsia="標楷體" w:hAnsi="Times New Roman" w:hint="eastAsia"/>
              </w:rPr>
              <w:t>第一百三十六條</w:t>
            </w:r>
          </w:p>
          <w:p w:rsidR="0074174E" w:rsidRPr="0034473F" w:rsidRDefault="0074174E" w:rsidP="0034473F">
            <w:pPr>
              <w:rPr>
                <w:rFonts w:ascii="標楷體" w:eastAsia="標楷體" w:hAnsi="標楷體" w:cs="細明體"/>
                <w:kern w:val="0"/>
                <w:szCs w:val="24"/>
              </w:rPr>
            </w:pPr>
            <w:r w:rsidRPr="0034473F">
              <w:rPr>
                <w:rFonts w:ascii="標楷體" w:eastAsia="標楷體" w:hAnsi="標楷體" w:cs="細明體"/>
                <w:kern w:val="0"/>
                <w:szCs w:val="24"/>
              </w:rPr>
              <w:t>證券商違反第二十五條第三項、第二十六條、第五十八條第二項、第三項、第七十五條第十款、第七十五條之一第二項、第七十五條之二第二項、第七十七條之四、第八十條第五項、第八十一條、第八十二條第一項、第二項、第三項、第八十二條之一、第八十三條第二項、第九十一條第一項、第二項、第三項、第五項、第六項、第九十一條之一第二項、第九十二條第二項、第九十四條第二項、第三項、第一百十三條之一之規定或未依前條所定之期限補正或改善者，本公司得予以警告，並通知其限期補正或</w:t>
            </w:r>
          </w:p>
          <w:p w:rsidR="0074174E" w:rsidRPr="00732F3B" w:rsidRDefault="0074174E" w:rsidP="00CE5FDB">
            <w:pPr>
              <w:rPr>
                <w:rFonts w:ascii="標楷體" w:eastAsia="標楷體" w:hAnsi="標楷體" w:cs="細明體"/>
                <w:kern w:val="0"/>
                <w:szCs w:val="24"/>
              </w:rPr>
            </w:pPr>
            <w:r w:rsidRPr="0034473F">
              <w:rPr>
                <w:rFonts w:ascii="標楷體" w:eastAsia="標楷體" w:hAnsi="標楷體" w:cs="細明體"/>
                <w:kern w:val="0"/>
                <w:szCs w:val="24"/>
              </w:rPr>
              <w:t>改善。</w:t>
            </w:r>
          </w:p>
        </w:tc>
        <w:tc>
          <w:tcPr>
            <w:tcW w:w="2232" w:type="dxa"/>
          </w:tcPr>
          <w:p w:rsidR="0074174E" w:rsidRDefault="0074174E" w:rsidP="006209BC">
            <w:pPr>
              <w:rPr>
                <w:rFonts w:ascii="標楷體" w:eastAsia="標楷體" w:hAnsi="標楷體"/>
                <w:szCs w:val="24"/>
              </w:rPr>
            </w:pPr>
            <w:r>
              <w:rPr>
                <w:rFonts w:ascii="標楷體" w:eastAsia="標楷體" w:hAnsi="標楷體" w:hint="eastAsia"/>
                <w:szCs w:val="24"/>
              </w:rPr>
              <w:t>配合本營業細則第二十五條增訂第三項，原第三項以下項次依序調整，本條所引用第二十五條原「第三項」修正為「第四項」。</w:t>
            </w:r>
          </w:p>
        </w:tc>
      </w:tr>
      <w:tr w:rsidR="0074174E" w:rsidRPr="004879F8" w:rsidTr="0074174E">
        <w:tc>
          <w:tcPr>
            <w:tcW w:w="3136" w:type="dxa"/>
          </w:tcPr>
          <w:p w:rsidR="0074174E" w:rsidRDefault="0074174E" w:rsidP="00732F3B">
            <w:pPr>
              <w:rPr>
                <w:rFonts w:ascii="Times New Roman" w:eastAsia="標楷體" w:hAnsi="Times New Roman"/>
              </w:rPr>
            </w:pPr>
            <w:r>
              <w:rPr>
                <w:rFonts w:ascii="Times New Roman" w:eastAsia="標楷體" w:hAnsi="Times New Roman" w:hint="eastAsia"/>
              </w:rPr>
              <w:t>第一百三十八條</w:t>
            </w:r>
          </w:p>
          <w:p w:rsidR="0074174E" w:rsidRPr="00732F3B" w:rsidRDefault="0074174E" w:rsidP="00732F3B">
            <w:pPr>
              <w:rPr>
                <w:rFonts w:ascii="標楷體" w:eastAsia="標楷體" w:hAnsi="標楷體" w:cs="細明體"/>
                <w:kern w:val="0"/>
                <w:szCs w:val="24"/>
              </w:rPr>
            </w:pPr>
            <w:r w:rsidRPr="00732F3B">
              <w:rPr>
                <w:rFonts w:ascii="標楷體" w:eastAsia="標楷體" w:hAnsi="標楷體" w:cs="細明體"/>
                <w:kern w:val="0"/>
                <w:szCs w:val="24"/>
              </w:rPr>
              <w:t>證券商有下列情事之一者，本公司得課新臺幣三十萬元以下之違約金：</w:t>
            </w:r>
          </w:p>
          <w:p w:rsidR="0074174E" w:rsidRPr="0034473F" w:rsidRDefault="0074174E" w:rsidP="0034473F">
            <w:pPr>
              <w:pStyle w:val="aa"/>
              <w:numPr>
                <w:ilvl w:val="0"/>
                <w:numId w:val="4"/>
              </w:numPr>
              <w:ind w:leftChars="0"/>
              <w:rPr>
                <w:rFonts w:ascii="標楷體" w:eastAsia="標楷體" w:hAnsi="標楷體" w:cs="細明體"/>
                <w:kern w:val="0"/>
                <w:szCs w:val="24"/>
              </w:rPr>
            </w:pPr>
            <w:r w:rsidRPr="0034473F">
              <w:rPr>
                <w:rFonts w:ascii="標楷體" w:eastAsia="標楷體" w:hAnsi="標楷體" w:cs="細明體" w:hint="eastAsia"/>
                <w:kern w:val="0"/>
                <w:szCs w:val="24"/>
              </w:rPr>
              <w:t>違反第二十五條第</w:t>
            </w:r>
            <w:r w:rsidRPr="0034473F">
              <w:rPr>
                <w:rFonts w:ascii="標楷體" w:eastAsia="標楷體" w:hAnsi="標楷體" w:cs="細明體" w:hint="eastAsia"/>
                <w:kern w:val="0"/>
                <w:szCs w:val="24"/>
                <w:u w:val="single"/>
              </w:rPr>
              <w:t>五</w:t>
            </w:r>
            <w:r w:rsidRPr="0034473F">
              <w:rPr>
                <w:rFonts w:ascii="標楷體" w:eastAsia="標楷體" w:hAnsi="標楷體" w:cs="細明體" w:hint="eastAsia"/>
                <w:kern w:val="0"/>
                <w:szCs w:val="24"/>
              </w:rPr>
              <w:t>項、第二十八條第二</w:t>
            </w:r>
            <w:r w:rsidRPr="0034473F">
              <w:rPr>
                <w:rFonts w:ascii="標楷體" w:eastAsia="標楷體" w:hAnsi="標楷體" w:cs="細明體" w:hint="eastAsia"/>
                <w:kern w:val="0"/>
                <w:szCs w:val="24"/>
              </w:rPr>
              <w:lastRenderedPageBreak/>
              <w:t>項、第二十八條之一第二項、</w:t>
            </w:r>
            <w:r w:rsidRPr="009D419D">
              <w:rPr>
                <w:rFonts w:ascii="標楷體" w:eastAsia="標楷體" w:hAnsi="標楷體" w:cs="細明體" w:hint="eastAsia"/>
                <w:kern w:val="0"/>
                <w:szCs w:val="24"/>
                <w:u w:val="single"/>
              </w:rPr>
              <w:t>第三十條</w:t>
            </w:r>
            <w:r>
              <w:rPr>
                <w:rFonts w:ascii="標楷體" w:eastAsia="標楷體" w:hAnsi="標楷體" w:cs="細明體" w:hint="eastAsia"/>
                <w:kern w:val="0"/>
                <w:szCs w:val="24"/>
              </w:rPr>
              <w:t>、</w:t>
            </w:r>
            <w:r w:rsidRPr="0034473F">
              <w:rPr>
                <w:rFonts w:ascii="標楷體" w:eastAsia="標楷體" w:hAnsi="標楷體" w:cs="細明體" w:hint="eastAsia"/>
                <w:kern w:val="0"/>
                <w:szCs w:val="24"/>
              </w:rPr>
              <w:t>第三十七條、第七十五條第九款、第七十七條、第八十條第一項或第八十六條之規定者。</w:t>
            </w:r>
          </w:p>
          <w:p w:rsidR="0074174E" w:rsidRPr="0034473F" w:rsidRDefault="0074174E" w:rsidP="0034473F">
            <w:pPr>
              <w:pStyle w:val="aa"/>
              <w:numPr>
                <w:ilvl w:val="0"/>
                <w:numId w:val="4"/>
              </w:numPr>
              <w:ind w:leftChars="0"/>
              <w:rPr>
                <w:rFonts w:ascii="標楷體" w:eastAsia="標楷體" w:hAnsi="標楷體" w:cs="細明體"/>
                <w:kern w:val="0"/>
                <w:szCs w:val="24"/>
              </w:rPr>
            </w:pPr>
            <w:r w:rsidRPr="0034473F">
              <w:rPr>
                <w:rFonts w:ascii="標楷體" w:eastAsia="標楷體" w:hAnsi="標楷體" w:cs="細明體" w:hint="eastAsia"/>
                <w:kern w:val="0"/>
                <w:szCs w:val="24"/>
              </w:rPr>
              <w:t>未依第一百三十六條所定之期限補正或改善者。</w:t>
            </w:r>
          </w:p>
          <w:p w:rsidR="0074174E" w:rsidRPr="0034473F" w:rsidRDefault="0074174E" w:rsidP="0034473F">
            <w:pPr>
              <w:pStyle w:val="aa"/>
              <w:numPr>
                <w:ilvl w:val="0"/>
                <w:numId w:val="4"/>
              </w:numPr>
              <w:ind w:leftChars="0"/>
              <w:rPr>
                <w:rFonts w:ascii="標楷體" w:eastAsia="標楷體" w:hAnsi="標楷體" w:cs="細明體"/>
                <w:kern w:val="0"/>
                <w:szCs w:val="24"/>
              </w:rPr>
            </w:pPr>
            <w:r w:rsidRPr="0034473F">
              <w:rPr>
                <w:rFonts w:ascii="標楷體" w:eastAsia="標楷體" w:hAnsi="標楷體" w:cs="細明體" w:hint="eastAsia"/>
                <w:kern w:val="0"/>
                <w:szCs w:val="24"/>
              </w:rPr>
              <w:t>未依第一百三十七條第三項規定如期繳納過怠金者。</w:t>
            </w:r>
          </w:p>
          <w:p w:rsidR="0074174E" w:rsidRDefault="0074174E" w:rsidP="0034473F">
            <w:pPr>
              <w:pStyle w:val="aa"/>
              <w:numPr>
                <w:ilvl w:val="0"/>
                <w:numId w:val="4"/>
              </w:numPr>
              <w:ind w:leftChars="0"/>
              <w:rPr>
                <w:rFonts w:ascii="標楷體" w:eastAsia="標楷體" w:hAnsi="標楷體" w:cs="細明體"/>
                <w:kern w:val="0"/>
                <w:szCs w:val="24"/>
              </w:rPr>
            </w:pPr>
            <w:r w:rsidRPr="0034473F">
              <w:rPr>
                <w:rFonts w:ascii="標楷體" w:eastAsia="標楷體" w:hAnsi="標楷體" w:cs="細明體" w:hint="eastAsia"/>
                <w:kern w:val="0"/>
                <w:szCs w:val="24"/>
              </w:rPr>
              <w:t>依第一</w:t>
            </w:r>
            <w:r w:rsidRPr="0034473F">
              <w:rPr>
                <w:rFonts w:ascii="標楷體" w:eastAsia="標楷體" w:hAnsi="標楷體" w:cs="細明體" w:hint="eastAsia"/>
                <w:kern w:val="0"/>
                <w:szCs w:val="24"/>
                <w:u w:val="single"/>
              </w:rPr>
              <w:t>百</w:t>
            </w:r>
            <w:r w:rsidRPr="0034473F">
              <w:rPr>
                <w:rFonts w:ascii="標楷體" w:eastAsia="標楷體" w:hAnsi="標楷體" w:cs="細明體" w:hint="eastAsia"/>
                <w:kern w:val="0"/>
                <w:szCs w:val="24"/>
              </w:rPr>
              <w:t>三</w:t>
            </w:r>
            <w:r w:rsidRPr="0034473F">
              <w:rPr>
                <w:rFonts w:ascii="標楷體" w:eastAsia="標楷體" w:hAnsi="標楷體" w:cs="細明體" w:hint="eastAsia"/>
                <w:kern w:val="0"/>
                <w:szCs w:val="24"/>
                <w:u w:val="single"/>
              </w:rPr>
              <w:t>十</w:t>
            </w:r>
            <w:r w:rsidRPr="0034473F">
              <w:rPr>
                <w:rFonts w:ascii="標楷體" w:eastAsia="標楷體" w:hAnsi="標楷體" w:cs="細明體" w:hint="eastAsia"/>
                <w:kern w:val="0"/>
                <w:szCs w:val="24"/>
              </w:rPr>
              <w:t>六條之規定予以警告，最近半年內達二次以上者。</w:t>
            </w:r>
          </w:p>
          <w:p w:rsidR="0074174E" w:rsidRPr="00875250" w:rsidRDefault="0074174E" w:rsidP="00875250">
            <w:pPr>
              <w:rPr>
                <w:rFonts w:ascii="標楷體" w:eastAsia="標楷體" w:hAnsi="標楷體" w:cs="細明體"/>
                <w:kern w:val="0"/>
                <w:szCs w:val="24"/>
                <w:u w:val="single"/>
              </w:rPr>
            </w:pPr>
            <w:r w:rsidRPr="009D419D">
              <w:rPr>
                <w:rFonts w:ascii="標楷體" w:eastAsia="標楷體" w:hAnsi="標楷體" w:cs="細明體" w:hint="eastAsia"/>
                <w:kern w:val="0"/>
                <w:szCs w:val="24"/>
                <w:u w:val="single"/>
              </w:rPr>
              <w:t>證券商有違反本公司其他章則、使用市場契約等有關規定者，本公司得視情節輕重課新臺幣三十萬元以下之違約金。</w:t>
            </w:r>
          </w:p>
          <w:p w:rsidR="0074174E" w:rsidRPr="00875250" w:rsidRDefault="0074174E" w:rsidP="00875250">
            <w:pPr>
              <w:rPr>
                <w:rFonts w:ascii="標楷體" w:eastAsia="標楷體" w:hAnsi="標楷體" w:cs="細明體"/>
                <w:kern w:val="0"/>
                <w:szCs w:val="24"/>
              </w:rPr>
            </w:pPr>
            <w:r>
              <w:rPr>
                <w:rFonts w:ascii="標楷體" w:eastAsia="標楷體" w:hAnsi="標楷體" w:cs="細明體" w:hint="eastAsia"/>
                <w:kern w:val="0"/>
                <w:szCs w:val="24"/>
              </w:rPr>
              <w:t>證券商於最近半年內再次發生</w:t>
            </w:r>
            <w:r w:rsidRPr="009D419D">
              <w:rPr>
                <w:rFonts w:ascii="標楷體" w:eastAsia="標楷體" w:hAnsi="標楷體" w:cs="細明體" w:hint="eastAsia"/>
                <w:kern w:val="0"/>
                <w:szCs w:val="24"/>
                <w:u w:val="single"/>
              </w:rPr>
              <w:t>第一</w:t>
            </w:r>
            <w:r w:rsidRPr="00875250">
              <w:rPr>
                <w:rFonts w:ascii="標楷體" w:eastAsia="標楷體" w:hAnsi="標楷體" w:cs="細明體" w:hint="eastAsia"/>
                <w:kern w:val="0"/>
                <w:szCs w:val="24"/>
              </w:rPr>
              <w:t>項各款</w:t>
            </w:r>
            <w:r w:rsidRPr="009D419D">
              <w:rPr>
                <w:rFonts w:ascii="標楷體" w:eastAsia="標楷體" w:hAnsi="標楷體" w:cs="細明體" w:hint="eastAsia"/>
                <w:kern w:val="0"/>
                <w:szCs w:val="24"/>
                <w:u w:val="single"/>
              </w:rPr>
              <w:t>及第二項</w:t>
            </w:r>
            <w:r w:rsidRPr="00875250">
              <w:rPr>
                <w:rFonts w:ascii="標楷體" w:eastAsia="標楷體" w:hAnsi="標楷體" w:cs="細明體" w:hint="eastAsia"/>
                <w:kern w:val="0"/>
                <w:szCs w:val="24"/>
              </w:rPr>
              <w:t>違規情事之一者，本公司得課新臺幣五十萬元之違約金。</w:t>
            </w:r>
          </w:p>
          <w:p w:rsidR="0074174E" w:rsidRDefault="0074174E" w:rsidP="00875250">
            <w:pPr>
              <w:rPr>
                <w:rFonts w:ascii="Times New Roman" w:eastAsia="標楷體" w:hAnsi="Times New Roman"/>
              </w:rPr>
            </w:pPr>
            <w:r w:rsidRPr="00875250">
              <w:rPr>
                <w:rFonts w:ascii="標楷體" w:eastAsia="標楷體" w:hAnsi="標楷體" w:cs="細明體" w:hint="eastAsia"/>
                <w:kern w:val="0"/>
                <w:szCs w:val="24"/>
              </w:rPr>
              <w:t>證券商有第一項第二款情事之一者，本公司應再次通知其限期補正或改善。</w:t>
            </w:r>
          </w:p>
        </w:tc>
        <w:tc>
          <w:tcPr>
            <w:tcW w:w="3154" w:type="dxa"/>
          </w:tcPr>
          <w:p w:rsidR="0074174E" w:rsidRDefault="0074174E" w:rsidP="00CE5FDB">
            <w:pPr>
              <w:rPr>
                <w:rFonts w:ascii="Times New Roman" w:eastAsia="標楷體" w:hAnsi="Times New Roman"/>
              </w:rPr>
            </w:pPr>
            <w:r>
              <w:rPr>
                <w:rFonts w:ascii="Times New Roman" w:eastAsia="標楷體" w:hAnsi="Times New Roman" w:hint="eastAsia"/>
              </w:rPr>
              <w:lastRenderedPageBreak/>
              <w:t>第一百三十八條</w:t>
            </w:r>
          </w:p>
          <w:p w:rsidR="0074174E" w:rsidRPr="0034473F" w:rsidRDefault="0074174E" w:rsidP="0034473F">
            <w:pPr>
              <w:rPr>
                <w:rFonts w:ascii="標楷體" w:eastAsia="標楷體" w:hAnsi="標楷體" w:cs="細明體"/>
                <w:kern w:val="0"/>
                <w:szCs w:val="24"/>
              </w:rPr>
            </w:pPr>
            <w:r w:rsidRPr="0034473F">
              <w:rPr>
                <w:rFonts w:ascii="標楷體" w:eastAsia="標楷體" w:hAnsi="標楷體" w:cs="細明體"/>
                <w:kern w:val="0"/>
                <w:szCs w:val="24"/>
              </w:rPr>
              <w:t>證券商有下列情事之一者，本公司得課新臺幣三十萬元以下之違約金：</w:t>
            </w:r>
          </w:p>
          <w:p w:rsidR="0074174E" w:rsidRPr="0034473F" w:rsidRDefault="0074174E" w:rsidP="0034473F">
            <w:pPr>
              <w:pStyle w:val="aa"/>
              <w:numPr>
                <w:ilvl w:val="0"/>
                <w:numId w:val="3"/>
              </w:numPr>
              <w:ind w:leftChars="0"/>
              <w:rPr>
                <w:rFonts w:ascii="標楷體" w:eastAsia="標楷體" w:hAnsi="標楷體" w:cs="細明體"/>
                <w:kern w:val="0"/>
                <w:szCs w:val="24"/>
              </w:rPr>
            </w:pPr>
            <w:r w:rsidRPr="0034473F">
              <w:rPr>
                <w:rFonts w:ascii="標楷體" w:eastAsia="標楷體" w:hAnsi="標楷體" w:cs="細明體"/>
                <w:kern w:val="0"/>
                <w:szCs w:val="24"/>
              </w:rPr>
              <w:t>違反第二十五條第四項、第二十八條第二</w:t>
            </w:r>
            <w:r w:rsidRPr="0034473F">
              <w:rPr>
                <w:rFonts w:ascii="標楷體" w:eastAsia="標楷體" w:hAnsi="標楷體" w:cs="細明體"/>
                <w:kern w:val="0"/>
                <w:szCs w:val="24"/>
              </w:rPr>
              <w:lastRenderedPageBreak/>
              <w:t>項、第二十八條之一第二項、第三十七條、第七十五條第九款、第七十七條、第八十條第一項或第八十六條之規定者。</w:t>
            </w:r>
          </w:p>
          <w:p w:rsidR="0074174E" w:rsidRPr="0034473F" w:rsidRDefault="0074174E" w:rsidP="0034473F">
            <w:pPr>
              <w:pStyle w:val="aa"/>
              <w:numPr>
                <w:ilvl w:val="0"/>
                <w:numId w:val="3"/>
              </w:numPr>
              <w:ind w:leftChars="0"/>
              <w:rPr>
                <w:rFonts w:ascii="標楷體" w:eastAsia="標楷體" w:hAnsi="標楷體" w:cs="細明體"/>
                <w:kern w:val="0"/>
                <w:szCs w:val="24"/>
              </w:rPr>
            </w:pPr>
            <w:r w:rsidRPr="0034473F">
              <w:rPr>
                <w:rFonts w:ascii="標楷體" w:eastAsia="標楷體" w:hAnsi="標楷體" w:cs="細明體"/>
                <w:kern w:val="0"/>
                <w:szCs w:val="24"/>
              </w:rPr>
              <w:t>未依第一百三十六條所定之期限補正或改善者。</w:t>
            </w:r>
          </w:p>
          <w:p w:rsidR="0074174E" w:rsidRPr="0034473F" w:rsidRDefault="0074174E" w:rsidP="0034473F">
            <w:pPr>
              <w:pStyle w:val="aa"/>
              <w:numPr>
                <w:ilvl w:val="0"/>
                <w:numId w:val="3"/>
              </w:numPr>
              <w:ind w:leftChars="0"/>
              <w:rPr>
                <w:rFonts w:ascii="標楷體" w:eastAsia="標楷體" w:hAnsi="標楷體" w:cs="細明體"/>
                <w:kern w:val="0"/>
                <w:szCs w:val="24"/>
              </w:rPr>
            </w:pPr>
            <w:r w:rsidRPr="0034473F">
              <w:rPr>
                <w:rFonts w:ascii="標楷體" w:eastAsia="標楷體" w:hAnsi="標楷體" w:cs="細明體"/>
                <w:kern w:val="0"/>
                <w:szCs w:val="24"/>
              </w:rPr>
              <w:t>未依第一百三十七條第三項規定如期繳納過怠金者。</w:t>
            </w:r>
          </w:p>
          <w:p w:rsidR="0074174E" w:rsidRPr="0034473F" w:rsidRDefault="0074174E" w:rsidP="0034473F">
            <w:pPr>
              <w:pStyle w:val="aa"/>
              <w:numPr>
                <w:ilvl w:val="0"/>
                <w:numId w:val="3"/>
              </w:numPr>
              <w:ind w:leftChars="0"/>
              <w:rPr>
                <w:rFonts w:ascii="標楷體" w:eastAsia="標楷體" w:hAnsi="標楷體" w:cs="細明體"/>
                <w:kern w:val="0"/>
                <w:szCs w:val="24"/>
              </w:rPr>
            </w:pPr>
            <w:r w:rsidRPr="0034473F">
              <w:rPr>
                <w:rFonts w:ascii="標楷體" w:eastAsia="標楷體" w:hAnsi="標楷體" w:cs="細明體"/>
                <w:kern w:val="0"/>
                <w:szCs w:val="24"/>
              </w:rPr>
              <w:t>依第一三六條之規定予以警告，最近半年內達二次以上者。</w:t>
            </w:r>
          </w:p>
          <w:p w:rsidR="0074174E" w:rsidRPr="0034473F" w:rsidRDefault="0074174E" w:rsidP="0034473F">
            <w:pPr>
              <w:rPr>
                <w:rFonts w:ascii="標楷體" w:eastAsia="標楷體" w:hAnsi="標楷體" w:cs="細明體"/>
                <w:kern w:val="0"/>
                <w:szCs w:val="24"/>
              </w:rPr>
            </w:pPr>
            <w:r w:rsidRPr="0034473F">
              <w:rPr>
                <w:rFonts w:ascii="標楷體" w:eastAsia="標楷體" w:hAnsi="標楷體" w:cs="細明體" w:hint="eastAsia"/>
                <w:kern w:val="0"/>
                <w:szCs w:val="24"/>
              </w:rPr>
              <w:t>證券商於最近半年內再次發生前項各款違規情事之一者，本公司得課新臺幣五十萬元之違約金。</w:t>
            </w:r>
          </w:p>
          <w:p w:rsidR="0074174E" w:rsidRPr="00875250" w:rsidRDefault="0074174E" w:rsidP="00CE5FDB">
            <w:pPr>
              <w:rPr>
                <w:rFonts w:ascii="標楷體" w:eastAsia="標楷體" w:hAnsi="標楷體" w:cs="細明體"/>
                <w:kern w:val="0"/>
                <w:szCs w:val="24"/>
              </w:rPr>
            </w:pPr>
            <w:r w:rsidRPr="0034473F">
              <w:rPr>
                <w:rFonts w:ascii="標楷體" w:eastAsia="標楷體" w:hAnsi="標楷體" w:cs="細明體" w:hint="eastAsia"/>
                <w:kern w:val="0"/>
                <w:szCs w:val="24"/>
              </w:rPr>
              <w:t>證券商有第一項第二款情事之一者，本公司應再次通知其限期補正或改善。</w:t>
            </w:r>
          </w:p>
        </w:tc>
        <w:tc>
          <w:tcPr>
            <w:tcW w:w="2232" w:type="dxa"/>
          </w:tcPr>
          <w:p w:rsidR="0074174E" w:rsidRPr="009D419D" w:rsidRDefault="0074174E">
            <w:pPr>
              <w:pStyle w:val="aa"/>
              <w:numPr>
                <w:ilvl w:val="0"/>
                <w:numId w:val="9"/>
              </w:numPr>
              <w:ind w:leftChars="0"/>
              <w:jc w:val="both"/>
              <w:rPr>
                <w:rFonts w:ascii="標楷體" w:eastAsia="標楷體" w:hAnsi="標楷體"/>
                <w:szCs w:val="24"/>
              </w:rPr>
            </w:pPr>
            <w:r w:rsidRPr="009D419D">
              <w:rPr>
                <w:rFonts w:ascii="標楷體" w:eastAsia="標楷體" w:hAnsi="標楷體" w:hint="eastAsia"/>
                <w:szCs w:val="24"/>
              </w:rPr>
              <w:lastRenderedPageBreak/>
              <w:t>配合本營業細則第二十五條增訂第三項，原第三項以下項次依序調整，本條第一</w:t>
            </w:r>
            <w:r w:rsidRPr="009D419D">
              <w:rPr>
                <w:rFonts w:ascii="標楷體" w:eastAsia="標楷體" w:hAnsi="標楷體" w:hint="eastAsia"/>
                <w:szCs w:val="24"/>
              </w:rPr>
              <w:lastRenderedPageBreak/>
              <w:t>項第一款所引用第二十五條原「第四項」修正為「第五項」，另調整第一項第四款體例用語。</w:t>
            </w:r>
          </w:p>
          <w:p w:rsidR="0074174E" w:rsidRPr="009D419D" w:rsidRDefault="0074174E" w:rsidP="0034473F">
            <w:pPr>
              <w:pStyle w:val="aa"/>
              <w:numPr>
                <w:ilvl w:val="0"/>
                <w:numId w:val="9"/>
              </w:numPr>
              <w:ind w:leftChars="0"/>
              <w:jc w:val="both"/>
              <w:rPr>
                <w:rFonts w:ascii="標楷體" w:eastAsia="標楷體" w:hAnsi="標楷體"/>
                <w:szCs w:val="24"/>
              </w:rPr>
            </w:pPr>
            <w:r w:rsidRPr="009D419D">
              <w:rPr>
                <w:rFonts w:ascii="標楷體" w:eastAsia="標楷體" w:hAnsi="標楷體" w:hint="eastAsia"/>
                <w:szCs w:val="24"/>
              </w:rPr>
              <w:t>關於證券商虛偽不實之行為，本營業細則第一百四十一條另有從重處置規定，針對違規情節較輕者，本公司得課以違約金，爰於本條第一項第一款增訂本營業細則第三十條規定，以完備相關處置依據。</w:t>
            </w:r>
          </w:p>
          <w:p w:rsidR="0074174E" w:rsidRDefault="0074174E">
            <w:pPr>
              <w:pStyle w:val="aa"/>
              <w:numPr>
                <w:ilvl w:val="0"/>
                <w:numId w:val="9"/>
              </w:numPr>
              <w:ind w:leftChars="0"/>
              <w:jc w:val="both"/>
              <w:rPr>
                <w:rFonts w:ascii="標楷體" w:eastAsia="標楷體" w:hAnsi="標楷體"/>
                <w:szCs w:val="24"/>
              </w:rPr>
            </w:pPr>
            <w:r w:rsidRPr="009D419D">
              <w:rPr>
                <w:rFonts w:ascii="標楷體" w:eastAsia="標楷體" w:hAnsi="標楷體" w:hint="eastAsia"/>
                <w:szCs w:val="24"/>
              </w:rPr>
              <w:t>配合本公司章程原第三十八條之刪除，為使本公司依據證券交易法第一百三十三條準用第一百一十條規定所為之各類處置更臻完備，爰增訂本條第二項規定，本條原第二項移至第三項，並調整文字。</w:t>
            </w:r>
          </w:p>
        </w:tc>
      </w:tr>
      <w:tr w:rsidR="0074174E" w:rsidRPr="004879F8" w:rsidTr="0074174E">
        <w:tc>
          <w:tcPr>
            <w:tcW w:w="3136" w:type="dxa"/>
          </w:tcPr>
          <w:p w:rsidR="0074174E" w:rsidRPr="00050F94" w:rsidRDefault="0074174E" w:rsidP="00121833">
            <w:pPr>
              <w:rPr>
                <w:rFonts w:ascii="Times New Roman" w:eastAsia="標楷體" w:hAnsi="Times New Roman"/>
                <w:color w:val="000000"/>
              </w:rPr>
            </w:pPr>
            <w:r w:rsidRPr="00050F94">
              <w:rPr>
                <w:rFonts w:ascii="Times New Roman" w:eastAsia="標楷體" w:hAnsi="Times New Roman" w:hint="eastAsia"/>
                <w:color w:val="000000"/>
              </w:rPr>
              <w:lastRenderedPageBreak/>
              <w:t>第一百四十一條</w:t>
            </w:r>
          </w:p>
          <w:p w:rsidR="0074174E" w:rsidRPr="00050F94" w:rsidRDefault="0074174E" w:rsidP="005F2589">
            <w:pPr>
              <w:jc w:val="both"/>
              <w:rPr>
                <w:rFonts w:ascii="標楷體" w:eastAsia="標楷體" w:hAnsi="標楷體"/>
                <w:color w:val="000000"/>
              </w:rPr>
            </w:pPr>
            <w:r w:rsidRPr="00050F94">
              <w:rPr>
                <w:rFonts w:ascii="標楷體" w:eastAsia="標楷體" w:hAnsi="標楷體"/>
                <w:color w:val="000000"/>
              </w:rPr>
              <w:t>證券商有下列情事之一者，本公司得對其自營或經紀業務或其營業處所之全部或部分，限制或停止其買賣或終止其使用市場契約：</w:t>
            </w:r>
          </w:p>
          <w:p w:rsidR="0074174E" w:rsidRPr="00050F94" w:rsidRDefault="0074174E" w:rsidP="005F2589">
            <w:pPr>
              <w:pStyle w:val="HTML"/>
              <w:spacing w:after="180"/>
              <w:ind w:leftChars="200" w:left="480"/>
              <w:rPr>
                <w:rFonts w:ascii="標楷體" w:eastAsia="標楷體" w:hAnsi="標楷體"/>
                <w:color w:val="000000"/>
              </w:rPr>
            </w:pPr>
            <w:r>
              <w:rPr>
                <w:rFonts w:ascii="Times New Roman" w:eastAsia="標楷體" w:hAnsi="標楷體" w:hint="eastAsia"/>
              </w:rPr>
              <w:t>(</w:t>
            </w:r>
            <w:r w:rsidRPr="00050F94">
              <w:rPr>
                <w:rFonts w:ascii="Times New Roman" w:eastAsia="標楷體" w:hAnsi="標楷體" w:hint="eastAsia"/>
                <w:color w:val="000000"/>
              </w:rPr>
              <w:t>第一款至第七款略</w:t>
            </w:r>
            <w:r>
              <w:rPr>
                <w:rFonts w:ascii="Times New Roman" w:eastAsia="標楷體" w:hAnsi="標楷體" w:hint="eastAsia"/>
              </w:rPr>
              <w:t>)</w:t>
            </w:r>
          </w:p>
          <w:p w:rsidR="0074174E" w:rsidRDefault="0074174E" w:rsidP="005F2589">
            <w:pPr>
              <w:ind w:leftChars="200" w:left="960" w:hangingChars="200" w:hanging="480"/>
              <w:jc w:val="both"/>
              <w:rPr>
                <w:rFonts w:ascii="標楷體" w:eastAsia="標楷體" w:hAnsi="標楷體"/>
                <w:color w:val="000000"/>
                <w:u w:val="single"/>
              </w:rPr>
            </w:pPr>
            <w:r>
              <w:rPr>
                <w:rFonts w:ascii="Times New Roman" w:eastAsia="標楷體" w:hAnsi="標楷體" w:hint="eastAsia"/>
                <w:color w:val="000000"/>
                <w:u w:val="single"/>
              </w:rPr>
              <w:t>八、</w:t>
            </w:r>
            <w:r>
              <w:rPr>
                <w:rFonts w:ascii="標楷體" w:eastAsia="標楷體" w:hAnsi="標楷體" w:cs="細明體" w:hint="eastAsia"/>
                <w:color w:val="000000"/>
                <w:kern w:val="0"/>
                <w:szCs w:val="24"/>
                <w:u w:val="single"/>
              </w:rPr>
              <w:t>經依第一百四十二條第一項第一款處置，仍未於限期內提示相關帳冊、憑證等資料者。</w:t>
            </w:r>
          </w:p>
          <w:p w:rsidR="0074174E" w:rsidRPr="00050F94" w:rsidRDefault="0074174E" w:rsidP="00121833">
            <w:pPr>
              <w:rPr>
                <w:rFonts w:ascii="Times New Roman" w:eastAsia="標楷體" w:hAnsi="標楷體"/>
                <w:color w:val="000000"/>
                <w:u w:val="single"/>
              </w:rPr>
            </w:pPr>
          </w:p>
        </w:tc>
        <w:tc>
          <w:tcPr>
            <w:tcW w:w="3154" w:type="dxa"/>
          </w:tcPr>
          <w:p w:rsidR="0074174E" w:rsidRPr="00050F94" w:rsidRDefault="0074174E" w:rsidP="004879F8">
            <w:pPr>
              <w:rPr>
                <w:rFonts w:ascii="Times New Roman" w:eastAsia="標楷體" w:hAnsi="Times New Roman"/>
                <w:color w:val="000000"/>
              </w:rPr>
            </w:pPr>
            <w:r w:rsidRPr="00050F94">
              <w:rPr>
                <w:rFonts w:ascii="Times New Roman" w:eastAsia="標楷體" w:hAnsi="Times New Roman" w:hint="eastAsia"/>
                <w:color w:val="000000"/>
              </w:rPr>
              <w:t>第一百四十一條</w:t>
            </w:r>
          </w:p>
          <w:p w:rsidR="0074174E" w:rsidRPr="00050F94" w:rsidRDefault="0074174E" w:rsidP="005F2589">
            <w:pPr>
              <w:jc w:val="both"/>
              <w:rPr>
                <w:rFonts w:ascii="標楷體" w:eastAsia="標楷體" w:hAnsi="標楷體"/>
                <w:color w:val="000000"/>
              </w:rPr>
            </w:pPr>
            <w:r w:rsidRPr="00050F94">
              <w:rPr>
                <w:rFonts w:ascii="標楷體" w:eastAsia="標楷體" w:hAnsi="標楷體"/>
                <w:color w:val="000000"/>
              </w:rPr>
              <w:t>證券商有下列情事之一者，本公司得對其自營或經紀業務或其營業處所之全部或部分，限制或停止其買賣或終止其使用市場契約：</w:t>
            </w:r>
          </w:p>
          <w:p w:rsidR="0074174E" w:rsidRPr="00050F94" w:rsidRDefault="0074174E" w:rsidP="005F2589">
            <w:pPr>
              <w:pStyle w:val="HTML"/>
              <w:spacing w:after="180"/>
              <w:ind w:leftChars="200" w:left="480"/>
              <w:rPr>
                <w:rFonts w:ascii="標楷體" w:eastAsia="標楷體" w:hAnsi="標楷體"/>
                <w:color w:val="000000"/>
              </w:rPr>
            </w:pPr>
            <w:r>
              <w:rPr>
                <w:rFonts w:ascii="Times New Roman" w:eastAsia="標楷體" w:hAnsi="標楷體" w:hint="eastAsia"/>
              </w:rPr>
              <w:t>(</w:t>
            </w:r>
            <w:r w:rsidRPr="00050F94">
              <w:rPr>
                <w:rFonts w:ascii="Times New Roman" w:eastAsia="標楷體" w:hAnsi="標楷體" w:hint="eastAsia"/>
                <w:color w:val="000000"/>
              </w:rPr>
              <w:t>第一款至第七款略</w:t>
            </w:r>
            <w:r>
              <w:rPr>
                <w:rFonts w:ascii="Times New Roman" w:eastAsia="標楷體" w:hAnsi="標楷體" w:hint="eastAsia"/>
              </w:rPr>
              <w:t>)</w:t>
            </w:r>
          </w:p>
          <w:p w:rsidR="0074174E" w:rsidRPr="00050F94" w:rsidRDefault="0074174E" w:rsidP="005F2589">
            <w:pPr>
              <w:pStyle w:val="HTML"/>
              <w:spacing w:after="180"/>
              <w:ind w:leftChars="200" w:left="480"/>
              <w:rPr>
                <w:rFonts w:ascii="Times New Roman" w:eastAsia="標楷體" w:hAnsi="Times New Roman"/>
                <w:color w:val="000000"/>
              </w:rPr>
            </w:pPr>
          </w:p>
        </w:tc>
        <w:tc>
          <w:tcPr>
            <w:tcW w:w="2232" w:type="dxa"/>
          </w:tcPr>
          <w:p w:rsidR="0074174E" w:rsidRDefault="0074174E">
            <w:pPr>
              <w:jc w:val="both"/>
              <w:rPr>
                <w:rFonts w:ascii="Times New Roman" w:eastAsia="標楷體" w:hAnsi="Times New Roman"/>
              </w:rPr>
            </w:pPr>
            <w:r w:rsidRPr="004F0768">
              <w:rPr>
                <w:rFonts w:ascii="標楷體" w:eastAsia="標楷體" w:hAnsi="標楷體"/>
                <w:color w:val="000000"/>
              </w:rPr>
              <w:t>證券商</w:t>
            </w:r>
            <w:r>
              <w:rPr>
                <w:rFonts w:ascii="標楷體" w:eastAsia="標楷體" w:hAnsi="標楷體" w:hint="eastAsia"/>
                <w:color w:val="000000"/>
              </w:rPr>
              <w:t>有</w:t>
            </w:r>
            <w:r w:rsidRPr="004F0768">
              <w:rPr>
                <w:rFonts w:ascii="標楷體" w:eastAsia="標楷體" w:hAnsi="標楷體"/>
                <w:color w:val="000000"/>
              </w:rPr>
              <w:t>規避、拒絕檢查之</w:t>
            </w:r>
            <w:r>
              <w:rPr>
                <w:rFonts w:ascii="標楷體" w:eastAsia="標楷體" w:hAnsi="標楷體" w:hint="eastAsia"/>
                <w:color w:val="000000"/>
              </w:rPr>
              <w:t>情事，依修正前</w:t>
            </w:r>
            <w:r w:rsidRPr="005D7658">
              <w:rPr>
                <w:rFonts w:ascii="標楷體" w:eastAsia="標楷體" w:hAnsi="標楷體"/>
                <w:color w:val="000000"/>
              </w:rPr>
              <w:t>章程第三十八條第一項第二款</w:t>
            </w:r>
            <w:r w:rsidRPr="003D1041">
              <w:rPr>
                <w:rFonts w:ascii="標楷體" w:eastAsia="標楷體" w:hAnsi="標楷體"/>
                <w:color w:val="000000"/>
              </w:rPr>
              <w:t>之規定，</w:t>
            </w:r>
            <w:r>
              <w:rPr>
                <w:rFonts w:ascii="標楷體" w:eastAsia="標楷體" w:hAnsi="標楷體" w:hint="eastAsia"/>
                <w:color w:val="000000"/>
              </w:rPr>
              <w:t>本公司得</w:t>
            </w:r>
            <w:r w:rsidRPr="003D1041">
              <w:rPr>
                <w:rFonts w:ascii="標楷體" w:eastAsia="標楷體" w:hAnsi="標楷體"/>
                <w:color w:val="000000"/>
              </w:rPr>
              <w:t>終止其使用市場契約</w:t>
            </w:r>
            <w:r>
              <w:rPr>
                <w:rFonts w:ascii="標楷體" w:eastAsia="標楷體" w:hAnsi="標楷體" w:hint="eastAsia"/>
                <w:color w:val="000000"/>
              </w:rPr>
              <w:t>。</w:t>
            </w:r>
            <w:r w:rsidRPr="003D1041">
              <w:rPr>
                <w:rFonts w:ascii="標楷體" w:eastAsia="標楷體" w:hAnsi="標楷體" w:hint="eastAsia"/>
                <w:color w:val="000000"/>
              </w:rPr>
              <w:t>配合本公司章程修正，刪除第七章</w:t>
            </w:r>
            <w:r>
              <w:rPr>
                <w:rFonts w:ascii="標楷體" w:eastAsia="標楷體" w:hAnsi="標楷體" w:hint="eastAsia"/>
                <w:szCs w:val="24"/>
              </w:rPr>
              <w:t>(第三十一條第一項、第三十三條至三十八條)</w:t>
            </w:r>
            <w:r>
              <w:rPr>
                <w:rFonts w:ascii="標楷體" w:eastAsia="標楷體" w:hAnsi="標楷體" w:hint="eastAsia"/>
                <w:color w:val="000000"/>
              </w:rPr>
              <w:t>，</w:t>
            </w:r>
            <w:r w:rsidRPr="00A90D40">
              <w:rPr>
                <w:rFonts w:ascii="標楷體" w:eastAsia="標楷體" w:hAnsi="標楷體" w:cstheme="minorBidi" w:hint="eastAsia"/>
                <w:szCs w:val="24"/>
              </w:rPr>
              <w:t>證券商與本公司間之權利義務</w:t>
            </w:r>
            <w:r>
              <w:rPr>
                <w:rFonts w:ascii="標楷體" w:eastAsia="標楷體" w:hAnsi="標楷體" w:hint="eastAsia"/>
                <w:color w:val="000000"/>
              </w:rPr>
              <w:t>回歸營業細則規定，爰參照本條第六款體例，增訂第八款規定</w:t>
            </w:r>
            <w:r>
              <w:rPr>
                <w:rFonts w:ascii="Times New Roman" w:eastAsia="標楷體" w:hAnsi="標楷體" w:hint="eastAsia"/>
              </w:rPr>
              <w:t>。</w:t>
            </w:r>
          </w:p>
        </w:tc>
      </w:tr>
      <w:tr w:rsidR="0074174E" w:rsidRPr="004879F8" w:rsidTr="0074174E">
        <w:tc>
          <w:tcPr>
            <w:tcW w:w="3136" w:type="dxa"/>
          </w:tcPr>
          <w:p w:rsidR="0074174E" w:rsidRPr="00050F94" w:rsidRDefault="0074174E">
            <w:pPr>
              <w:rPr>
                <w:rFonts w:ascii="Times New Roman" w:eastAsia="標楷體" w:hAnsi="Times New Roman"/>
                <w:color w:val="000000"/>
              </w:rPr>
            </w:pPr>
            <w:r w:rsidRPr="00050F94">
              <w:rPr>
                <w:rFonts w:ascii="Times New Roman" w:eastAsia="標楷體" w:hAnsi="Times New Roman" w:hint="eastAsia"/>
                <w:color w:val="000000"/>
              </w:rPr>
              <w:t>第一百四十</w:t>
            </w:r>
            <w:r>
              <w:rPr>
                <w:rFonts w:ascii="Times New Roman" w:eastAsia="標楷體" w:hAnsi="Times New Roman" w:hint="eastAsia"/>
                <w:color w:val="000000"/>
              </w:rPr>
              <w:t>二</w:t>
            </w:r>
            <w:r w:rsidRPr="00050F94">
              <w:rPr>
                <w:rFonts w:ascii="Times New Roman" w:eastAsia="標楷體" w:hAnsi="Times New Roman" w:hint="eastAsia"/>
                <w:color w:val="000000"/>
              </w:rPr>
              <w:t>條</w:t>
            </w:r>
          </w:p>
          <w:p w:rsidR="0074174E" w:rsidRPr="00B576EB" w:rsidRDefault="0074174E" w:rsidP="005F25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r w:rsidRPr="00B576EB">
              <w:rPr>
                <w:rFonts w:ascii="標楷體" w:eastAsia="標楷體" w:hAnsi="標楷體" w:cs="細明體"/>
                <w:color w:val="000000"/>
                <w:kern w:val="0"/>
                <w:szCs w:val="24"/>
              </w:rPr>
              <w:t>證券商有下列情事之一者，本公司得對其自營業務或經紀業務或其營業處所之全部或部分，先暫停買賣，並函報主管機關：</w:t>
            </w:r>
          </w:p>
          <w:p w:rsidR="0074174E" w:rsidRPr="00050F94" w:rsidRDefault="0074174E" w:rsidP="005F2589">
            <w:pPr>
              <w:ind w:leftChars="200" w:left="480"/>
              <w:jc w:val="both"/>
              <w:rPr>
                <w:rFonts w:ascii="Times New Roman" w:eastAsia="標楷體" w:hAnsi="Times New Roman"/>
                <w:color w:val="000000"/>
              </w:rPr>
            </w:pPr>
            <w:r>
              <w:rPr>
                <w:rFonts w:ascii="Times New Roman" w:eastAsia="標楷體" w:hAnsi="標楷體" w:hint="eastAsia"/>
              </w:rPr>
              <w:t>(</w:t>
            </w:r>
            <w:r>
              <w:rPr>
                <w:rFonts w:ascii="Times New Roman" w:eastAsia="標楷體" w:hAnsi="標楷體" w:hint="eastAsia"/>
              </w:rPr>
              <w:t>第一款至第七款略</w:t>
            </w:r>
            <w:r>
              <w:rPr>
                <w:rFonts w:ascii="Times New Roman" w:eastAsia="標楷體" w:hAnsi="標楷體" w:hint="eastAsia"/>
                <w:kern w:val="0"/>
                <w:szCs w:val="24"/>
              </w:rPr>
              <w:t>)</w:t>
            </w:r>
          </w:p>
          <w:p w:rsidR="0074174E" w:rsidRDefault="0074174E" w:rsidP="00C90B1D">
            <w:pPr>
              <w:ind w:leftChars="200" w:left="960" w:hangingChars="200" w:hanging="480"/>
              <w:jc w:val="both"/>
              <w:rPr>
                <w:rFonts w:ascii="Times New Roman" w:eastAsia="標楷體" w:hAnsi="標楷體"/>
              </w:rPr>
            </w:pPr>
            <w:r w:rsidRPr="00B576EB">
              <w:rPr>
                <w:rFonts w:ascii="標楷體" w:eastAsia="標楷體" w:hAnsi="標楷體" w:cs="細明體"/>
                <w:color w:val="000000"/>
                <w:kern w:val="0"/>
                <w:szCs w:val="24"/>
              </w:rPr>
              <w:t>五</w:t>
            </w:r>
            <w:r w:rsidRPr="00B576EB">
              <w:rPr>
                <w:rFonts w:ascii="標楷體" w:eastAsia="標楷體" w:hAnsi="標楷體" w:cs="細明體" w:hint="eastAsia"/>
                <w:color w:val="000000"/>
                <w:kern w:val="0"/>
                <w:szCs w:val="24"/>
              </w:rPr>
              <w:t>、</w:t>
            </w:r>
            <w:r w:rsidRPr="00B576EB">
              <w:rPr>
                <w:rFonts w:ascii="標楷體" w:eastAsia="標楷體" w:hAnsi="標楷體" w:cs="細明體"/>
                <w:color w:val="000000"/>
                <w:kern w:val="0"/>
                <w:szCs w:val="24"/>
              </w:rPr>
              <w:t>其他違反本營業細則、</w:t>
            </w:r>
            <w:r w:rsidRPr="0034473F">
              <w:rPr>
                <w:rFonts w:ascii="標楷體" w:eastAsia="標楷體" w:hAnsi="標楷體" w:cs="細明體" w:hint="eastAsia"/>
                <w:color w:val="000000"/>
                <w:kern w:val="0"/>
                <w:szCs w:val="24"/>
                <w:u w:val="single"/>
              </w:rPr>
              <w:t>「</w:t>
            </w:r>
            <w:r w:rsidRPr="00B576EB">
              <w:rPr>
                <w:rFonts w:ascii="標楷體" w:eastAsia="標楷體" w:hAnsi="標楷體" w:cs="細明體"/>
                <w:color w:val="000000"/>
                <w:kern w:val="0"/>
                <w:szCs w:val="24"/>
              </w:rPr>
              <w:t>受託契約準則</w:t>
            </w:r>
            <w:r w:rsidRPr="0034473F">
              <w:rPr>
                <w:rFonts w:ascii="標楷體" w:eastAsia="標楷體" w:hAnsi="標楷體" w:cs="細明體" w:hint="eastAsia"/>
                <w:color w:val="000000"/>
                <w:kern w:val="0"/>
                <w:szCs w:val="24"/>
                <w:u w:val="single"/>
              </w:rPr>
              <w:t>」</w:t>
            </w:r>
            <w:r w:rsidRPr="00B576EB">
              <w:rPr>
                <w:rFonts w:ascii="標楷體" w:eastAsia="標楷體" w:hAnsi="標楷體" w:cs="細明體"/>
                <w:color w:val="000000"/>
                <w:kern w:val="0"/>
                <w:szCs w:val="24"/>
              </w:rPr>
              <w:t>或其他章則、辦法、公告、通函等有關規定，其情節有影響證券市場交易、結算、交割秩序之虞者。</w:t>
            </w:r>
          </w:p>
          <w:p w:rsidR="0074174E" w:rsidRPr="00050F94" w:rsidRDefault="0074174E" w:rsidP="00C90B1D">
            <w:pPr>
              <w:jc w:val="both"/>
              <w:rPr>
                <w:color w:val="000000"/>
              </w:rPr>
            </w:pPr>
            <w:r>
              <w:rPr>
                <w:rFonts w:ascii="Times New Roman" w:eastAsia="標楷體" w:hAnsi="標楷體" w:hint="eastAsia"/>
              </w:rPr>
              <w:t>(</w:t>
            </w:r>
            <w:r>
              <w:rPr>
                <w:rFonts w:ascii="Times New Roman" w:eastAsia="標楷體" w:hAnsi="標楷體" w:hint="eastAsia"/>
                <w:kern w:val="0"/>
                <w:szCs w:val="24"/>
              </w:rPr>
              <w:t>第二</w:t>
            </w:r>
            <w:r w:rsidRPr="00A732FD">
              <w:rPr>
                <w:rFonts w:ascii="Times New Roman" w:eastAsia="標楷體" w:hAnsi="標楷體" w:hint="eastAsia"/>
              </w:rPr>
              <w:t>項</w:t>
            </w:r>
            <w:r>
              <w:rPr>
                <w:rFonts w:ascii="Times New Roman" w:eastAsia="標楷體" w:hAnsi="標楷體" w:hint="eastAsia"/>
                <w:kern w:val="0"/>
                <w:szCs w:val="24"/>
              </w:rPr>
              <w:t>至第三項略</w:t>
            </w:r>
            <w:r>
              <w:rPr>
                <w:rFonts w:ascii="Times New Roman" w:eastAsia="標楷體" w:hAnsi="標楷體" w:hint="eastAsia"/>
                <w:kern w:val="0"/>
                <w:szCs w:val="24"/>
              </w:rPr>
              <w:t>)</w:t>
            </w:r>
          </w:p>
        </w:tc>
        <w:tc>
          <w:tcPr>
            <w:tcW w:w="3154" w:type="dxa"/>
          </w:tcPr>
          <w:p w:rsidR="0074174E" w:rsidRPr="00050F94" w:rsidRDefault="0074174E">
            <w:pPr>
              <w:rPr>
                <w:rFonts w:ascii="Times New Roman" w:eastAsia="標楷體" w:hAnsi="Times New Roman"/>
                <w:color w:val="000000"/>
              </w:rPr>
            </w:pPr>
            <w:r w:rsidRPr="00050F94">
              <w:rPr>
                <w:rFonts w:ascii="Times New Roman" w:eastAsia="標楷體" w:hAnsi="Times New Roman" w:hint="eastAsia"/>
                <w:color w:val="000000"/>
              </w:rPr>
              <w:t>第一百四十</w:t>
            </w:r>
            <w:r>
              <w:rPr>
                <w:rFonts w:ascii="Times New Roman" w:eastAsia="標楷體" w:hAnsi="Times New Roman" w:hint="eastAsia"/>
                <w:color w:val="000000"/>
              </w:rPr>
              <w:t>二</w:t>
            </w:r>
            <w:r w:rsidRPr="00050F94">
              <w:rPr>
                <w:rFonts w:ascii="Times New Roman" w:eastAsia="標楷體" w:hAnsi="Times New Roman" w:hint="eastAsia"/>
                <w:color w:val="000000"/>
              </w:rPr>
              <w:t>條</w:t>
            </w:r>
          </w:p>
          <w:p w:rsidR="0074174E" w:rsidRPr="00B576EB" w:rsidRDefault="0074174E" w:rsidP="005F25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r w:rsidRPr="00B576EB">
              <w:rPr>
                <w:rFonts w:ascii="標楷體" w:eastAsia="標楷體" w:hAnsi="標楷體" w:cs="細明體"/>
                <w:color w:val="000000"/>
                <w:kern w:val="0"/>
                <w:szCs w:val="24"/>
              </w:rPr>
              <w:t>證券商有下列情事之一者，本公司得對其自營業務或經紀業務或其營業處所之全部或部分，先暫停買賣，並函報主管機關：</w:t>
            </w:r>
          </w:p>
          <w:p w:rsidR="0074174E" w:rsidRPr="00050F94" w:rsidRDefault="0074174E" w:rsidP="005F2589">
            <w:pPr>
              <w:ind w:leftChars="200" w:left="480"/>
              <w:jc w:val="both"/>
              <w:rPr>
                <w:rFonts w:ascii="Times New Roman" w:eastAsia="標楷體" w:hAnsi="Times New Roman"/>
                <w:color w:val="000000"/>
              </w:rPr>
            </w:pPr>
            <w:r>
              <w:rPr>
                <w:rFonts w:ascii="Times New Roman" w:eastAsia="標楷體" w:hAnsi="標楷體" w:hint="eastAsia"/>
              </w:rPr>
              <w:t>(</w:t>
            </w:r>
            <w:r w:rsidRPr="00050F94">
              <w:rPr>
                <w:rFonts w:ascii="Times New Roman" w:eastAsia="標楷體" w:hAnsi="標楷體" w:hint="eastAsia"/>
                <w:color w:val="000000"/>
                <w:kern w:val="0"/>
                <w:szCs w:val="24"/>
              </w:rPr>
              <w:t>第一款至第</w:t>
            </w:r>
            <w:r w:rsidRPr="00050F94">
              <w:rPr>
                <w:rFonts w:ascii="Times New Roman" w:eastAsia="標楷體" w:hAnsi="標楷體" w:hint="eastAsia"/>
                <w:color w:val="000000"/>
              </w:rPr>
              <w:t>七</w:t>
            </w:r>
            <w:r w:rsidRPr="00050F94">
              <w:rPr>
                <w:rFonts w:ascii="Times New Roman" w:eastAsia="標楷體" w:hAnsi="標楷體" w:hint="eastAsia"/>
                <w:color w:val="000000"/>
                <w:kern w:val="0"/>
                <w:szCs w:val="24"/>
              </w:rPr>
              <w:t>款略</w:t>
            </w:r>
            <w:r>
              <w:rPr>
                <w:rFonts w:ascii="Times New Roman" w:eastAsia="標楷體" w:hAnsi="標楷體" w:hint="eastAsia"/>
                <w:kern w:val="0"/>
                <w:szCs w:val="24"/>
              </w:rPr>
              <w:t>)</w:t>
            </w:r>
          </w:p>
          <w:p w:rsidR="0074174E" w:rsidRDefault="0074174E" w:rsidP="00562710">
            <w:pPr>
              <w:ind w:leftChars="200" w:left="960" w:hangingChars="200" w:hanging="480"/>
              <w:jc w:val="both"/>
              <w:rPr>
                <w:rFonts w:ascii="標楷體" w:eastAsia="標楷體" w:hAnsi="標楷體" w:cs="細明體"/>
                <w:color w:val="000000"/>
                <w:kern w:val="0"/>
                <w:szCs w:val="24"/>
              </w:rPr>
            </w:pPr>
            <w:r w:rsidRPr="00B576EB">
              <w:rPr>
                <w:rFonts w:ascii="標楷體" w:eastAsia="標楷體" w:hAnsi="標楷體" w:cs="細明體"/>
                <w:color w:val="000000"/>
                <w:kern w:val="0"/>
                <w:szCs w:val="24"/>
              </w:rPr>
              <w:t>五</w:t>
            </w:r>
            <w:r w:rsidRPr="00B576EB">
              <w:rPr>
                <w:rFonts w:ascii="標楷體" w:eastAsia="標楷體" w:hAnsi="標楷體" w:cs="細明體" w:hint="eastAsia"/>
                <w:color w:val="000000"/>
                <w:kern w:val="0"/>
                <w:szCs w:val="24"/>
              </w:rPr>
              <w:t>、</w:t>
            </w:r>
            <w:r w:rsidRPr="00B576EB">
              <w:rPr>
                <w:rFonts w:ascii="標楷體" w:eastAsia="標楷體" w:hAnsi="標楷體" w:cs="細明體"/>
                <w:color w:val="000000"/>
                <w:kern w:val="0"/>
                <w:szCs w:val="24"/>
              </w:rPr>
              <w:t>其他違反本</w:t>
            </w:r>
            <w:r w:rsidRPr="0034473F">
              <w:rPr>
                <w:rFonts w:ascii="標楷體" w:eastAsia="標楷體" w:hAnsi="標楷體" w:cs="細明體"/>
                <w:color w:val="000000"/>
                <w:kern w:val="0"/>
                <w:szCs w:val="24"/>
                <w:u w:val="single"/>
              </w:rPr>
              <w:t>公司</w:t>
            </w:r>
            <w:r w:rsidRPr="00B576EB">
              <w:rPr>
                <w:rFonts w:ascii="標楷體" w:eastAsia="標楷體" w:hAnsi="標楷體" w:cs="細明體"/>
                <w:color w:val="000000"/>
                <w:kern w:val="0"/>
                <w:szCs w:val="24"/>
                <w:u w:val="single"/>
              </w:rPr>
              <w:t>章程、</w:t>
            </w:r>
            <w:r w:rsidRPr="00B576EB">
              <w:rPr>
                <w:rFonts w:ascii="標楷體" w:eastAsia="標楷體" w:hAnsi="標楷體" w:cs="細明體"/>
                <w:color w:val="000000"/>
                <w:kern w:val="0"/>
                <w:szCs w:val="24"/>
              </w:rPr>
              <w:t>營業細則、受託契約準則或其他章則、辦法、公告、通函等有關規定，其情節有影響證券市場交易、結算、交割秩序之虞者。</w:t>
            </w:r>
          </w:p>
          <w:p w:rsidR="0074174E" w:rsidRPr="00050F94" w:rsidRDefault="0074174E" w:rsidP="005F2589">
            <w:pPr>
              <w:rPr>
                <w:color w:val="000000"/>
              </w:rPr>
            </w:pPr>
            <w:r>
              <w:rPr>
                <w:rFonts w:ascii="Times New Roman" w:eastAsia="標楷體" w:hAnsi="標楷體" w:hint="eastAsia"/>
              </w:rPr>
              <w:t>(</w:t>
            </w:r>
            <w:r>
              <w:rPr>
                <w:rFonts w:ascii="Times New Roman" w:eastAsia="標楷體" w:hAnsi="標楷體" w:hint="eastAsia"/>
                <w:kern w:val="0"/>
                <w:szCs w:val="24"/>
              </w:rPr>
              <w:t>第二</w:t>
            </w:r>
            <w:r w:rsidRPr="00A732FD">
              <w:rPr>
                <w:rFonts w:ascii="Times New Roman" w:eastAsia="標楷體" w:hAnsi="標楷體" w:hint="eastAsia"/>
              </w:rPr>
              <w:t>項</w:t>
            </w:r>
            <w:r>
              <w:rPr>
                <w:rFonts w:ascii="Times New Roman" w:eastAsia="標楷體" w:hAnsi="標楷體" w:hint="eastAsia"/>
                <w:kern w:val="0"/>
                <w:szCs w:val="24"/>
              </w:rPr>
              <w:t>至第三項略</w:t>
            </w:r>
            <w:r>
              <w:rPr>
                <w:rFonts w:ascii="Times New Roman" w:eastAsia="標楷體" w:hAnsi="標楷體" w:hint="eastAsia"/>
                <w:kern w:val="0"/>
                <w:szCs w:val="24"/>
              </w:rPr>
              <w:t>)</w:t>
            </w:r>
          </w:p>
        </w:tc>
        <w:tc>
          <w:tcPr>
            <w:tcW w:w="2232" w:type="dxa"/>
          </w:tcPr>
          <w:p w:rsidR="0074174E" w:rsidRDefault="0074174E" w:rsidP="00285238">
            <w:pPr>
              <w:jc w:val="both"/>
              <w:rPr>
                <w:rFonts w:ascii="Times New Roman" w:eastAsia="標楷體" w:hAnsi="標楷體"/>
              </w:rPr>
            </w:pPr>
            <w:r>
              <w:rPr>
                <w:rFonts w:ascii="標楷體" w:eastAsia="標楷體" w:hAnsi="標楷體" w:hint="eastAsia"/>
                <w:szCs w:val="24"/>
              </w:rPr>
              <w:t>本公司章程已刪除第七章本公司集中交易市場之證券商(第三十一條第一項、第三十三條至三十八條)，將證券商與本公司間之權利義務，回歸供給使用有價證券集中交易市場契約及相關管理章則，爰配合修正。</w:t>
            </w:r>
          </w:p>
        </w:tc>
      </w:tr>
      <w:tr w:rsidR="0074174E" w:rsidRPr="004879F8" w:rsidTr="0074174E">
        <w:tc>
          <w:tcPr>
            <w:tcW w:w="3136" w:type="dxa"/>
          </w:tcPr>
          <w:p w:rsidR="0074174E" w:rsidRDefault="0074174E" w:rsidP="00E56D0A">
            <w:pPr>
              <w:rPr>
                <w:rFonts w:ascii="Times New Roman" w:eastAsia="標楷體" w:hAnsi="Times New Roman"/>
                <w:color w:val="000000"/>
              </w:rPr>
            </w:pPr>
            <w:r w:rsidRPr="00050F94">
              <w:rPr>
                <w:rFonts w:ascii="Times New Roman" w:eastAsia="標楷體" w:hAnsi="Times New Roman" w:hint="eastAsia"/>
                <w:color w:val="000000"/>
              </w:rPr>
              <w:t>第一百四十</w:t>
            </w:r>
            <w:r>
              <w:rPr>
                <w:rFonts w:ascii="Times New Roman" w:eastAsia="標楷體" w:hAnsi="Times New Roman" w:hint="eastAsia"/>
                <w:color w:val="000000"/>
              </w:rPr>
              <w:t>四</w:t>
            </w:r>
            <w:r w:rsidRPr="00050F94">
              <w:rPr>
                <w:rFonts w:ascii="Times New Roman" w:eastAsia="標楷體" w:hAnsi="Times New Roman" w:hint="eastAsia"/>
                <w:color w:val="000000"/>
              </w:rPr>
              <w:t>條</w:t>
            </w:r>
          </w:p>
          <w:p w:rsidR="0074174E" w:rsidRPr="00050F94" w:rsidRDefault="0074174E" w:rsidP="00605AE8">
            <w:pPr>
              <w:jc w:val="both"/>
              <w:rPr>
                <w:rFonts w:ascii="Times New Roman" w:eastAsia="標楷體" w:hAnsi="Times New Roman"/>
                <w:color w:val="000000"/>
              </w:rPr>
            </w:pPr>
            <w:r w:rsidRPr="00B576EB">
              <w:rPr>
                <w:rFonts w:ascii="標楷體" w:eastAsia="標楷體" w:hAnsi="標楷體" w:cs="細明體"/>
                <w:color w:val="000000"/>
                <w:kern w:val="0"/>
                <w:szCs w:val="24"/>
              </w:rPr>
              <w:t>證券商之受僱人違反本營業細則、</w:t>
            </w:r>
            <w:r w:rsidRPr="0034473F">
              <w:rPr>
                <w:rFonts w:ascii="標楷體" w:eastAsia="標楷體" w:hAnsi="標楷體" w:cs="細明體" w:hint="eastAsia"/>
                <w:color w:val="000000"/>
                <w:kern w:val="0"/>
                <w:szCs w:val="24"/>
                <w:u w:val="single"/>
              </w:rPr>
              <w:t>「</w:t>
            </w:r>
            <w:r w:rsidRPr="00B576EB">
              <w:rPr>
                <w:rFonts w:ascii="標楷體" w:eastAsia="標楷體" w:hAnsi="標楷體" w:cs="細明體"/>
                <w:color w:val="000000"/>
                <w:kern w:val="0"/>
                <w:szCs w:val="24"/>
              </w:rPr>
              <w:t>受託契約準則</w:t>
            </w:r>
            <w:r w:rsidRPr="0034473F">
              <w:rPr>
                <w:rFonts w:ascii="標楷體" w:eastAsia="標楷體" w:hAnsi="標楷體" w:cs="細明體" w:hint="eastAsia"/>
                <w:color w:val="000000"/>
                <w:kern w:val="0"/>
                <w:szCs w:val="24"/>
                <w:u w:val="single"/>
              </w:rPr>
              <w:t>」</w:t>
            </w:r>
            <w:r w:rsidRPr="00B576EB">
              <w:rPr>
                <w:rFonts w:ascii="標楷體" w:eastAsia="標楷體" w:hAnsi="標楷體" w:cs="細明體"/>
                <w:color w:val="000000"/>
                <w:kern w:val="0"/>
                <w:szCs w:val="24"/>
              </w:rPr>
              <w:t>或其他章則、辦法、公告、通函等有關規定者，本公司得</w:t>
            </w:r>
            <w:r w:rsidRPr="00B576EB">
              <w:rPr>
                <w:rFonts w:ascii="標楷體" w:eastAsia="標楷體" w:hAnsi="標楷體" w:cs="細明體"/>
                <w:color w:val="000000"/>
                <w:kern w:val="0"/>
                <w:szCs w:val="24"/>
              </w:rPr>
              <w:lastRenderedPageBreak/>
              <w:t>視情節輕重，逕行通知證券商予以警告，或暫停其執行業務一個月至六個月。</w:t>
            </w:r>
          </w:p>
        </w:tc>
        <w:tc>
          <w:tcPr>
            <w:tcW w:w="3154" w:type="dxa"/>
          </w:tcPr>
          <w:p w:rsidR="0074174E" w:rsidRDefault="0074174E" w:rsidP="004879F8">
            <w:pPr>
              <w:rPr>
                <w:rFonts w:ascii="Times New Roman" w:eastAsia="標楷體" w:hAnsi="Times New Roman"/>
                <w:color w:val="000000"/>
              </w:rPr>
            </w:pPr>
            <w:r w:rsidRPr="00050F94">
              <w:rPr>
                <w:rFonts w:ascii="Times New Roman" w:eastAsia="標楷體" w:hAnsi="Times New Roman" w:hint="eastAsia"/>
                <w:color w:val="000000"/>
              </w:rPr>
              <w:lastRenderedPageBreak/>
              <w:t>第一百四十</w:t>
            </w:r>
            <w:r>
              <w:rPr>
                <w:rFonts w:ascii="Times New Roman" w:eastAsia="標楷體" w:hAnsi="Times New Roman" w:hint="eastAsia"/>
                <w:color w:val="000000"/>
              </w:rPr>
              <w:t>四</w:t>
            </w:r>
            <w:r w:rsidRPr="00050F94">
              <w:rPr>
                <w:rFonts w:ascii="Times New Roman" w:eastAsia="標楷體" w:hAnsi="Times New Roman" w:hint="eastAsia"/>
                <w:color w:val="000000"/>
              </w:rPr>
              <w:t>條</w:t>
            </w:r>
          </w:p>
          <w:p w:rsidR="0074174E" w:rsidRPr="00050F94" w:rsidRDefault="0074174E" w:rsidP="009528C6">
            <w:pPr>
              <w:jc w:val="both"/>
              <w:rPr>
                <w:rFonts w:ascii="Times New Roman" w:eastAsia="標楷體" w:hAnsi="Times New Roman"/>
                <w:color w:val="000000"/>
              </w:rPr>
            </w:pPr>
            <w:r w:rsidRPr="00B576EB">
              <w:rPr>
                <w:rFonts w:ascii="標楷體" w:eastAsia="標楷體" w:hAnsi="標楷體" w:cs="細明體"/>
                <w:color w:val="000000"/>
                <w:kern w:val="0"/>
                <w:szCs w:val="24"/>
              </w:rPr>
              <w:t>證券商之受僱人違反本</w:t>
            </w:r>
            <w:r w:rsidRPr="00F64BA4">
              <w:rPr>
                <w:rFonts w:ascii="標楷體" w:eastAsia="標楷體" w:hAnsi="標楷體" w:cs="細明體"/>
                <w:color w:val="000000"/>
                <w:kern w:val="0"/>
                <w:szCs w:val="24"/>
                <w:u w:val="single"/>
              </w:rPr>
              <w:t>公司</w:t>
            </w:r>
            <w:r w:rsidRPr="009528C6">
              <w:rPr>
                <w:rFonts w:ascii="標楷體" w:eastAsia="標楷體" w:hAnsi="標楷體" w:cs="細明體"/>
                <w:color w:val="000000"/>
                <w:kern w:val="0"/>
                <w:szCs w:val="24"/>
                <w:u w:val="single"/>
              </w:rPr>
              <w:t>章程、</w:t>
            </w:r>
            <w:r w:rsidRPr="00B576EB">
              <w:rPr>
                <w:rFonts w:ascii="標楷體" w:eastAsia="標楷體" w:hAnsi="標楷體" w:cs="細明體"/>
                <w:color w:val="000000"/>
                <w:kern w:val="0"/>
                <w:szCs w:val="24"/>
              </w:rPr>
              <w:t>營業細則、受託契約準則或其他章則、辦法、公告、通函等有關規定者，本</w:t>
            </w:r>
            <w:r w:rsidRPr="00B576EB">
              <w:rPr>
                <w:rFonts w:ascii="標楷體" w:eastAsia="標楷體" w:hAnsi="標楷體" w:cs="細明體"/>
                <w:color w:val="000000"/>
                <w:kern w:val="0"/>
                <w:szCs w:val="24"/>
              </w:rPr>
              <w:lastRenderedPageBreak/>
              <w:t>公司得視情節輕重，逕行通知證券商予以警告，或暫停其執行業務一個月至六個月。</w:t>
            </w:r>
          </w:p>
        </w:tc>
        <w:tc>
          <w:tcPr>
            <w:tcW w:w="2232" w:type="dxa"/>
          </w:tcPr>
          <w:p w:rsidR="0074174E" w:rsidRDefault="0074174E" w:rsidP="00466FC9">
            <w:pPr>
              <w:rPr>
                <w:rFonts w:ascii="Times New Roman" w:eastAsia="標楷體" w:hAnsi="標楷體"/>
              </w:rPr>
            </w:pPr>
            <w:r>
              <w:rPr>
                <w:rFonts w:ascii="Times New Roman" w:eastAsia="標楷體" w:hAnsi="標楷體" w:hint="eastAsia"/>
              </w:rPr>
              <w:lastRenderedPageBreak/>
              <w:t>同上</w:t>
            </w:r>
          </w:p>
        </w:tc>
      </w:tr>
      <w:tr w:rsidR="0074174E" w:rsidRPr="004879F8" w:rsidTr="0074174E">
        <w:tc>
          <w:tcPr>
            <w:tcW w:w="3136" w:type="dxa"/>
          </w:tcPr>
          <w:p w:rsidR="0074174E" w:rsidRDefault="0074174E" w:rsidP="005166ED">
            <w:pPr>
              <w:rPr>
                <w:rFonts w:ascii="Times New Roman" w:eastAsia="標楷體" w:hAnsi="Times New Roman"/>
                <w:color w:val="000000"/>
              </w:rPr>
            </w:pPr>
            <w:r w:rsidRPr="00050F94">
              <w:rPr>
                <w:rFonts w:ascii="Times New Roman" w:eastAsia="標楷體" w:hAnsi="Times New Roman" w:hint="eastAsia"/>
                <w:color w:val="000000"/>
              </w:rPr>
              <w:lastRenderedPageBreak/>
              <w:t>第一百四十</w:t>
            </w:r>
            <w:r>
              <w:rPr>
                <w:rFonts w:ascii="Times New Roman" w:eastAsia="標楷體" w:hAnsi="Times New Roman" w:hint="eastAsia"/>
                <w:color w:val="000000"/>
              </w:rPr>
              <w:t>五</w:t>
            </w:r>
            <w:r w:rsidRPr="00050F94">
              <w:rPr>
                <w:rFonts w:ascii="Times New Roman" w:eastAsia="標楷體" w:hAnsi="Times New Roman" w:hint="eastAsia"/>
                <w:color w:val="000000"/>
              </w:rPr>
              <w:t>條</w:t>
            </w:r>
          </w:p>
          <w:p w:rsidR="0074174E" w:rsidRDefault="0074174E" w:rsidP="005166ED">
            <w:pPr>
              <w:rPr>
                <w:rFonts w:ascii="Times New Roman" w:eastAsia="標楷體" w:hAnsi="Times New Roman"/>
                <w:color w:val="000000"/>
              </w:rPr>
            </w:pPr>
            <w:r w:rsidRPr="00AE7DF3">
              <w:rPr>
                <w:rFonts w:ascii="標楷體" w:eastAsia="標楷體" w:hAnsi="標楷體" w:cs="細明體" w:hint="eastAsia"/>
                <w:color w:val="000000"/>
                <w:kern w:val="0"/>
                <w:szCs w:val="24"/>
                <w:u w:val="single"/>
              </w:rPr>
              <w:t>依本章第一百三十六條及第一百三十八條之處理，應報請主管機關核備。</w:t>
            </w:r>
          </w:p>
          <w:p w:rsidR="0074174E" w:rsidRPr="00C175EE" w:rsidRDefault="0074174E" w:rsidP="009528C6">
            <w:pPr>
              <w:jc w:val="both"/>
              <w:rPr>
                <w:rFonts w:ascii="標楷體" w:eastAsia="標楷體" w:hAnsi="標楷體" w:cs="細明體"/>
                <w:color w:val="000000"/>
                <w:kern w:val="0"/>
                <w:szCs w:val="24"/>
                <w:u w:val="single"/>
              </w:rPr>
            </w:pPr>
            <w:r w:rsidRPr="0034473F">
              <w:rPr>
                <w:rFonts w:ascii="標楷體" w:eastAsia="標楷體" w:hAnsi="標楷體" w:cs="細明體" w:hint="eastAsia"/>
                <w:color w:val="000000"/>
                <w:kern w:val="0"/>
                <w:szCs w:val="24"/>
                <w:u w:val="single"/>
              </w:rPr>
              <w:t>依本章第一百三十九條、第一百四十條及第一百四十一條限制或停止買賣之處理，應經本公司董事會決議後，報請主管機關核備。</w:t>
            </w:r>
          </w:p>
          <w:p w:rsidR="0074174E" w:rsidRPr="00192118" w:rsidRDefault="0074174E" w:rsidP="00C175EE">
            <w:pPr>
              <w:jc w:val="both"/>
              <w:rPr>
                <w:rFonts w:ascii="標楷體" w:eastAsia="標楷體" w:hAnsi="標楷體" w:cs="細明體"/>
                <w:color w:val="000000"/>
                <w:kern w:val="0"/>
                <w:szCs w:val="24"/>
                <w:u w:val="single"/>
              </w:rPr>
            </w:pPr>
            <w:r w:rsidRPr="00AE7DF3">
              <w:rPr>
                <w:rFonts w:ascii="標楷體" w:eastAsia="標楷體" w:hAnsi="標楷體" w:cs="細明體" w:hint="eastAsia"/>
                <w:color w:val="000000"/>
                <w:kern w:val="0"/>
                <w:szCs w:val="24"/>
                <w:u w:val="single"/>
              </w:rPr>
              <w:t>依本章第一百四十一條終止使用市場契約之處理，應經本公司董事會決議後，報請主管機關核准。</w:t>
            </w:r>
          </w:p>
          <w:p w:rsidR="0074174E" w:rsidRPr="00403585" w:rsidRDefault="0074174E" w:rsidP="00C13528">
            <w:pPr>
              <w:jc w:val="both"/>
              <w:rPr>
                <w:rFonts w:ascii="Times New Roman" w:eastAsia="標楷體" w:hAnsi="Times New Roman"/>
                <w:color w:val="000000"/>
              </w:rPr>
            </w:pPr>
          </w:p>
        </w:tc>
        <w:tc>
          <w:tcPr>
            <w:tcW w:w="3154" w:type="dxa"/>
          </w:tcPr>
          <w:p w:rsidR="0074174E" w:rsidRDefault="0074174E" w:rsidP="004879F8">
            <w:pPr>
              <w:rPr>
                <w:rFonts w:ascii="Times New Roman" w:eastAsia="標楷體" w:hAnsi="Times New Roman"/>
                <w:color w:val="000000"/>
              </w:rPr>
            </w:pPr>
            <w:r w:rsidRPr="00050F94">
              <w:rPr>
                <w:rFonts w:ascii="Times New Roman" w:eastAsia="標楷體" w:hAnsi="Times New Roman" w:hint="eastAsia"/>
                <w:color w:val="000000"/>
              </w:rPr>
              <w:t>第一百四十</w:t>
            </w:r>
            <w:r>
              <w:rPr>
                <w:rFonts w:ascii="Times New Roman" w:eastAsia="標楷體" w:hAnsi="Times New Roman" w:hint="eastAsia"/>
                <w:color w:val="000000"/>
              </w:rPr>
              <w:t>五</w:t>
            </w:r>
            <w:r w:rsidRPr="00050F94">
              <w:rPr>
                <w:rFonts w:ascii="Times New Roman" w:eastAsia="標楷體" w:hAnsi="Times New Roman" w:hint="eastAsia"/>
                <w:color w:val="000000"/>
              </w:rPr>
              <w:t>條</w:t>
            </w:r>
          </w:p>
          <w:p w:rsidR="0074174E" w:rsidRDefault="0074174E" w:rsidP="009528C6">
            <w:pPr>
              <w:jc w:val="both"/>
              <w:rPr>
                <w:rFonts w:ascii="標楷體" w:eastAsia="標楷體" w:hAnsi="標楷體" w:cs="細明體"/>
                <w:color w:val="000000"/>
                <w:kern w:val="0"/>
                <w:szCs w:val="24"/>
              </w:rPr>
            </w:pPr>
            <w:r w:rsidRPr="00B576EB">
              <w:rPr>
                <w:rFonts w:ascii="標楷體" w:eastAsia="標楷體" w:hAnsi="標楷體" w:cs="細明體"/>
                <w:color w:val="000000"/>
                <w:kern w:val="0"/>
                <w:szCs w:val="24"/>
              </w:rPr>
              <w:t>本章</w:t>
            </w:r>
            <w:r w:rsidRPr="0034473F">
              <w:rPr>
                <w:rFonts w:ascii="標楷體" w:eastAsia="標楷體" w:hAnsi="標楷體" w:cs="細明體"/>
                <w:color w:val="000000"/>
                <w:kern w:val="0"/>
                <w:szCs w:val="24"/>
              </w:rPr>
              <w:t>第一百三十八條、</w:t>
            </w:r>
            <w:r w:rsidRPr="00B576EB">
              <w:rPr>
                <w:rFonts w:ascii="標楷體" w:eastAsia="標楷體" w:hAnsi="標楷體" w:cs="細明體"/>
                <w:color w:val="000000"/>
                <w:kern w:val="0"/>
                <w:szCs w:val="24"/>
              </w:rPr>
              <w:t>第一百三十九條、第一百四十條、第一百四十一條規定之處理，除有終止使用市場契約之情事者，應經本公司董事會決議，並報奉主管機關核備外，依本公司董事會決議執行，並於執行後一個月內報請主管機關備查。</w:t>
            </w:r>
          </w:p>
          <w:p w:rsidR="0074174E" w:rsidRPr="005166ED" w:rsidRDefault="0074174E" w:rsidP="004879F8">
            <w:pPr>
              <w:rPr>
                <w:rFonts w:ascii="Times New Roman" w:eastAsia="標楷體" w:hAnsi="Times New Roman"/>
                <w:color w:val="000000"/>
                <w:u w:val="single"/>
              </w:rPr>
            </w:pPr>
            <w:r w:rsidRPr="0034473F">
              <w:rPr>
                <w:rFonts w:ascii="標楷體" w:eastAsia="標楷體" w:hAnsi="標楷體" w:cs="細明體"/>
                <w:color w:val="000000"/>
                <w:kern w:val="0"/>
                <w:szCs w:val="24"/>
              </w:rPr>
              <w:t>本章第一百三十六條規定之處理，應報請</w:t>
            </w:r>
            <w:r w:rsidRPr="00B576EB">
              <w:rPr>
                <w:rFonts w:ascii="標楷體" w:eastAsia="標楷體" w:hAnsi="標楷體" w:cs="細明體"/>
                <w:color w:val="000000"/>
                <w:kern w:val="0"/>
                <w:szCs w:val="24"/>
                <w:u w:val="single"/>
              </w:rPr>
              <w:t>本公司董事會及</w:t>
            </w:r>
            <w:r w:rsidRPr="0034473F">
              <w:rPr>
                <w:rFonts w:ascii="標楷體" w:eastAsia="標楷體" w:hAnsi="標楷體" w:cs="細明體"/>
                <w:color w:val="000000"/>
                <w:kern w:val="0"/>
                <w:szCs w:val="24"/>
              </w:rPr>
              <w:t>主管機關備查。</w:t>
            </w:r>
          </w:p>
        </w:tc>
        <w:tc>
          <w:tcPr>
            <w:tcW w:w="2232" w:type="dxa"/>
          </w:tcPr>
          <w:p w:rsidR="0074174E" w:rsidRPr="0034473F" w:rsidRDefault="0074174E" w:rsidP="0034473F">
            <w:pPr>
              <w:pStyle w:val="aa"/>
              <w:numPr>
                <w:ilvl w:val="0"/>
                <w:numId w:val="8"/>
              </w:numPr>
              <w:ind w:leftChars="0"/>
              <w:jc w:val="both"/>
              <w:rPr>
                <w:rFonts w:ascii="標楷體" w:eastAsia="標楷體" w:hAnsi="標楷體"/>
                <w:color w:val="000000"/>
              </w:rPr>
            </w:pPr>
            <w:r w:rsidRPr="00AE7DF3">
              <w:rPr>
                <w:rFonts w:ascii="標楷體" w:eastAsia="標楷體" w:hAnsi="標楷體" w:hint="eastAsia"/>
                <w:color w:val="000000"/>
              </w:rPr>
              <w:t>依證券交易所管理規則第三十三條第五款規定，對證券商所為除名或終止契約以外之處分，應報主管機關核備，爰修訂本條第</w:t>
            </w:r>
            <w:r>
              <w:rPr>
                <w:rFonts w:ascii="標楷體" w:eastAsia="標楷體" w:hAnsi="標楷體" w:hint="eastAsia"/>
                <w:color w:val="000000"/>
              </w:rPr>
              <w:t>一</w:t>
            </w:r>
            <w:r w:rsidRPr="00AE7DF3">
              <w:rPr>
                <w:rFonts w:ascii="標楷體" w:eastAsia="標楷體" w:hAnsi="標楷體" w:hint="eastAsia"/>
                <w:color w:val="000000"/>
              </w:rPr>
              <w:t>項及</w:t>
            </w:r>
            <w:r>
              <w:rPr>
                <w:rFonts w:ascii="標楷體" w:eastAsia="標楷體" w:hAnsi="標楷體" w:hint="eastAsia"/>
                <w:color w:val="000000"/>
              </w:rPr>
              <w:t>第二</w:t>
            </w:r>
            <w:r w:rsidRPr="00AE7DF3">
              <w:rPr>
                <w:rFonts w:ascii="標楷體" w:eastAsia="標楷體" w:hAnsi="標楷體" w:hint="eastAsia"/>
                <w:color w:val="000000"/>
              </w:rPr>
              <w:t>項。</w:t>
            </w:r>
          </w:p>
          <w:p w:rsidR="0074174E" w:rsidRDefault="0074174E" w:rsidP="0034473F">
            <w:pPr>
              <w:pStyle w:val="aa"/>
              <w:numPr>
                <w:ilvl w:val="0"/>
                <w:numId w:val="8"/>
              </w:numPr>
              <w:ind w:leftChars="0"/>
              <w:jc w:val="both"/>
              <w:rPr>
                <w:rFonts w:ascii="標楷體" w:eastAsia="標楷體" w:hAnsi="標楷體"/>
                <w:color w:val="000000"/>
              </w:rPr>
            </w:pPr>
            <w:r w:rsidRPr="00AE7DF3">
              <w:rPr>
                <w:rFonts w:ascii="標楷體" w:eastAsia="標楷體" w:hAnsi="標楷體" w:hint="eastAsia"/>
                <w:color w:val="000000"/>
              </w:rPr>
              <w:t>依證券交易法第一百三十四條準用第一百一十一條規定，有關終止證券商之契約者，應報主管機關</w:t>
            </w:r>
            <w:r>
              <w:rPr>
                <w:rFonts w:ascii="標楷體" w:eastAsia="標楷體" w:hAnsi="標楷體" w:hint="eastAsia"/>
                <w:color w:val="000000"/>
              </w:rPr>
              <w:t>核准，爰修</w:t>
            </w:r>
            <w:r w:rsidRPr="00AE7DF3">
              <w:rPr>
                <w:rFonts w:ascii="標楷體" w:eastAsia="標楷體" w:hAnsi="標楷體" w:hint="eastAsia"/>
                <w:color w:val="000000"/>
              </w:rPr>
              <w:t>訂本條</w:t>
            </w:r>
            <w:r>
              <w:rPr>
                <w:rFonts w:ascii="標楷體" w:eastAsia="標楷體" w:hAnsi="標楷體" w:hint="eastAsia"/>
                <w:color w:val="000000"/>
              </w:rPr>
              <w:t>第三項</w:t>
            </w:r>
            <w:r w:rsidRPr="00AE7DF3">
              <w:rPr>
                <w:rFonts w:ascii="標楷體" w:eastAsia="標楷體" w:hAnsi="標楷體" w:hint="eastAsia"/>
                <w:color w:val="000000"/>
              </w:rPr>
              <w:t>。</w:t>
            </w:r>
          </w:p>
          <w:p w:rsidR="0074174E" w:rsidRDefault="0074174E">
            <w:pPr>
              <w:pStyle w:val="aa"/>
              <w:numPr>
                <w:ilvl w:val="0"/>
                <w:numId w:val="8"/>
              </w:numPr>
              <w:ind w:leftChars="0"/>
              <w:jc w:val="both"/>
              <w:rPr>
                <w:rFonts w:ascii="標楷體" w:eastAsia="標楷體" w:hAnsi="標楷體"/>
                <w:color w:val="000000"/>
              </w:rPr>
            </w:pPr>
            <w:r>
              <w:rPr>
                <w:rFonts w:ascii="標楷體" w:eastAsia="標楷體" w:hAnsi="標楷體" w:hint="eastAsia"/>
                <w:color w:val="000000"/>
              </w:rPr>
              <w:t>按處置情形調整項次及體例用語，修正後使陳報主管機關之程序更臻明確。</w:t>
            </w:r>
          </w:p>
          <w:p w:rsidR="0074174E" w:rsidRDefault="0074174E" w:rsidP="00285238">
            <w:pPr>
              <w:jc w:val="both"/>
              <w:rPr>
                <w:rFonts w:ascii="Times New Roman" w:eastAsia="標楷體" w:hAnsi="標楷體"/>
              </w:rPr>
            </w:pPr>
          </w:p>
        </w:tc>
      </w:tr>
    </w:tbl>
    <w:p w:rsidR="00FA361C" w:rsidRDefault="00FA361C"/>
    <w:sectPr w:rsidR="00FA361C" w:rsidSect="00C90B1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AF" w:rsidRDefault="00C71EAF" w:rsidP="004879F8">
      <w:r>
        <w:separator/>
      </w:r>
    </w:p>
  </w:endnote>
  <w:endnote w:type="continuationSeparator" w:id="0">
    <w:p w:rsidR="00C71EAF" w:rsidRDefault="00C71EAF" w:rsidP="004879F8">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466"/>
      <w:docPartObj>
        <w:docPartGallery w:val="Page Numbers (Bottom of Page)"/>
        <w:docPartUnique/>
      </w:docPartObj>
    </w:sdtPr>
    <w:sdtContent>
      <w:p w:rsidR="003D14CA" w:rsidRDefault="00606572">
        <w:pPr>
          <w:pStyle w:val="a7"/>
          <w:jc w:val="center"/>
        </w:pPr>
        <w:fldSimple w:instr=" PAGE   \* MERGEFORMAT ">
          <w:r w:rsidR="009B75EA" w:rsidRPr="009B75EA">
            <w:rPr>
              <w:noProof/>
              <w:lang w:val="zh-TW"/>
            </w:rPr>
            <w:t>2</w:t>
          </w:r>
        </w:fldSimple>
      </w:p>
    </w:sdtContent>
  </w:sdt>
  <w:p w:rsidR="00562710" w:rsidRDefault="005627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AF" w:rsidRDefault="00C71EAF" w:rsidP="004879F8">
      <w:r>
        <w:separator/>
      </w:r>
    </w:p>
  </w:footnote>
  <w:footnote w:type="continuationSeparator" w:id="0">
    <w:p w:rsidR="00C71EAF" w:rsidRDefault="00C71EAF" w:rsidP="00487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C16"/>
    <w:multiLevelType w:val="hybridMultilevel"/>
    <w:tmpl w:val="64660DE6"/>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740C64"/>
    <w:multiLevelType w:val="hybridMultilevel"/>
    <w:tmpl w:val="6D689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544D1"/>
    <w:multiLevelType w:val="hybridMultilevel"/>
    <w:tmpl w:val="77988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7627F1"/>
    <w:multiLevelType w:val="hybridMultilevel"/>
    <w:tmpl w:val="C4E40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7B6E18"/>
    <w:multiLevelType w:val="hybridMultilevel"/>
    <w:tmpl w:val="58482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796488"/>
    <w:multiLevelType w:val="hybridMultilevel"/>
    <w:tmpl w:val="83C493FC"/>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2D6051"/>
    <w:multiLevelType w:val="hybridMultilevel"/>
    <w:tmpl w:val="C82E3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7B35E4"/>
    <w:multiLevelType w:val="hybridMultilevel"/>
    <w:tmpl w:val="031C95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945348"/>
    <w:multiLevelType w:val="hybridMultilevel"/>
    <w:tmpl w:val="8C96D5DE"/>
    <w:lvl w:ilvl="0" w:tplc="B0D687E2">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8"/>
  </w:num>
  <w:num w:numId="3">
    <w:abstractNumId w:val="3"/>
  </w:num>
  <w:num w:numId="4">
    <w:abstractNumId w:val="4"/>
  </w:num>
  <w:num w:numId="5">
    <w:abstractNumId w:val="1"/>
  </w:num>
  <w:num w:numId="6">
    <w:abstractNumId w:val="7"/>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16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9F8"/>
    <w:rsid w:val="00002550"/>
    <w:rsid w:val="00003CC3"/>
    <w:rsid w:val="00004F81"/>
    <w:rsid w:val="00011E7C"/>
    <w:rsid w:val="00020EF0"/>
    <w:rsid w:val="00030AF1"/>
    <w:rsid w:val="00032891"/>
    <w:rsid w:val="00033191"/>
    <w:rsid w:val="0003649B"/>
    <w:rsid w:val="00036E65"/>
    <w:rsid w:val="00042456"/>
    <w:rsid w:val="00043D7C"/>
    <w:rsid w:val="00050459"/>
    <w:rsid w:val="00050F94"/>
    <w:rsid w:val="00051976"/>
    <w:rsid w:val="0005401B"/>
    <w:rsid w:val="0006039A"/>
    <w:rsid w:val="00080A2D"/>
    <w:rsid w:val="00080C91"/>
    <w:rsid w:val="000866E7"/>
    <w:rsid w:val="000903FF"/>
    <w:rsid w:val="000954FE"/>
    <w:rsid w:val="000A089A"/>
    <w:rsid w:val="000A2123"/>
    <w:rsid w:val="000A461E"/>
    <w:rsid w:val="000B4F0A"/>
    <w:rsid w:val="000C2316"/>
    <w:rsid w:val="000D49C0"/>
    <w:rsid w:val="000D6001"/>
    <w:rsid w:val="000E2AB2"/>
    <w:rsid w:val="000F0147"/>
    <w:rsid w:val="000F186F"/>
    <w:rsid w:val="000F1A48"/>
    <w:rsid w:val="000F38A6"/>
    <w:rsid w:val="00110A96"/>
    <w:rsid w:val="0011532F"/>
    <w:rsid w:val="00116132"/>
    <w:rsid w:val="00120865"/>
    <w:rsid w:val="00121833"/>
    <w:rsid w:val="0012591E"/>
    <w:rsid w:val="00127324"/>
    <w:rsid w:val="0013336F"/>
    <w:rsid w:val="00141564"/>
    <w:rsid w:val="001476FC"/>
    <w:rsid w:val="00152BAA"/>
    <w:rsid w:val="001549AB"/>
    <w:rsid w:val="001640FA"/>
    <w:rsid w:val="001719EC"/>
    <w:rsid w:val="001722A8"/>
    <w:rsid w:val="00182449"/>
    <w:rsid w:val="001902FB"/>
    <w:rsid w:val="00192118"/>
    <w:rsid w:val="00195EFE"/>
    <w:rsid w:val="001A736B"/>
    <w:rsid w:val="001B06AF"/>
    <w:rsid w:val="001B138F"/>
    <w:rsid w:val="001B3FDF"/>
    <w:rsid w:val="001B6621"/>
    <w:rsid w:val="001B7AF4"/>
    <w:rsid w:val="001C2547"/>
    <w:rsid w:val="001D2F2D"/>
    <w:rsid w:val="001D43A2"/>
    <w:rsid w:val="001D5A52"/>
    <w:rsid w:val="001E1388"/>
    <w:rsid w:val="001E1DAA"/>
    <w:rsid w:val="001F4EFF"/>
    <w:rsid w:val="001F5E1B"/>
    <w:rsid w:val="002112C8"/>
    <w:rsid w:val="00214938"/>
    <w:rsid w:val="00222C37"/>
    <w:rsid w:val="0022669A"/>
    <w:rsid w:val="002377FA"/>
    <w:rsid w:val="00244D3A"/>
    <w:rsid w:val="00247C6C"/>
    <w:rsid w:val="002535C2"/>
    <w:rsid w:val="00255A26"/>
    <w:rsid w:val="002645C2"/>
    <w:rsid w:val="0027409F"/>
    <w:rsid w:val="002805FB"/>
    <w:rsid w:val="00285238"/>
    <w:rsid w:val="00291686"/>
    <w:rsid w:val="0029419F"/>
    <w:rsid w:val="00294342"/>
    <w:rsid w:val="002A35B2"/>
    <w:rsid w:val="002A5D54"/>
    <w:rsid w:val="002A5EA4"/>
    <w:rsid w:val="002B492D"/>
    <w:rsid w:val="002B587A"/>
    <w:rsid w:val="002C60AB"/>
    <w:rsid w:val="002D68CF"/>
    <w:rsid w:val="002D795C"/>
    <w:rsid w:val="002E16D4"/>
    <w:rsid w:val="002E22D5"/>
    <w:rsid w:val="002E3A81"/>
    <w:rsid w:val="002E7DA9"/>
    <w:rsid w:val="002F3739"/>
    <w:rsid w:val="002F686B"/>
    <w:rsid w:val="002F7227"/>
    <w:rsid w:val="003006AD"/>
    <w:rsid w:val="00301D16"/>
    <w:rsid w:val="003055C7"/>
    <w:rsid w:val="0030753F"/>
    <w:rsid w:val="003217F0"/>
    <w:rsid w:val="003222C6"/>
    <w:rsid w:val="00327798"/>
    <w:rsid w:val="00331040"/>
    <w:rsid w:val="00332EC1"/>
    <w:rsid w:val="00340E37"/>
    <w:rsid w:val="0034473F"/>
    <w:rsid w:val="003476DB"/>
    <w:rsid w:val="0036320C"/>
    <w:rsid w:val="00364EE9"/>
    <w:rsid w:val="003672E7"/>
    <w:rsid w:val="003713CA"/>
    <w:rsid w:val="00381359"/>
    <w:rsid w:val="003820DF"/>
    <w:rsid w:val="00382298"/>
    <w:rsid w:val="00382499"/>
    <w:rsid w:val="003A2B6D"/>
    <w:rsid w:val="003B0D92"/>
    <w:rsid w:val="003B452D"/>
    <w:rsid w:val="003B7368"/>
    <w:rsid w:val="003C369B"/>
    <w:rsid w:val="003C3781"/>
    <w:rsid w:val="003C59E8"/>
    <w:rsid w:val="003D0572"/>
    <w:rsid w:val="003D14CA"/>
    <w:rsid w:val="003D15E1"/>
    <w:rsid w:val="003D20A2"/>
    <w:rsid w:val="003D4C37"/>
    <w:rsid w:val="003F0C13"/>
    <w:rsid w:val="004024D1"/>
    <w:rsid w:val="00403585"/>
    <w:rsid w:val="0040678F"/>
    <w:rsid w:val="00410C94"/>
    <w:rsid w:val="00421FF7"/>
    <w:rsid w:val="00427CB7"/>
    <w:rsid w:val="00431316"/>
    <w:rsid w:val="00437B8A"/>
    <w:rsid w:val="00446D38"/>
    <w:rsid w:val="00452FD1"/>
    <w:rsid w:val="0045659C"/>
    <w:rsid w:val="00460088"/>
    <w:rsid w:val="00460B54"/>
    <w:rsid w:val="004660E8"/>
    <w:rsid w:val="00466FC9"/>
    <w:rsid w:val="00484C75"/>
    <w:rsid w:val="004855BA"/>
    <w:rsid w:val="00486A80"/>
    <w:rsid w:val="004879F8"/>
    <w:rsid w:val="00490EB3"/>
    <w:rsid w:val="00491389"/>
    <w:rsid w:val="00491B73"/>
    <w:rsid w:val="004A4911"/>
    <w:rsid w:val="004A5782"/>
    <w:rsid w:val="004B2E92"/>
    <w:rsid w:val="004C4D9C"/>
    <w:rsid w:val="004D2C9C"/>
    <w:rsid w:val="004D6DC3"/>
    <w:rsid w:val="004E3CD5"/>
    <w:rsid w:val="004E48A4"/>
    <w:rsid w:val="004F0D73"/>
    <w:rsid w:val="005003DB"/>
    <w:rsid w:val="005020D5"/>
    <w:rsid w:val="005034AE"/>
    <w:rsid w:val="0050700A"/>
    <w:rsid w:val="00507839"/>
    <w:rsid w:val="00514842"/>
    <w:rsid w:val="005166ED"/>
    <w:rsid w:val="00520198"/>
    <w:rsid w:val="0052142C"/>
    <w:rsid w:val="00525D44"/>
    <w:rsid w:val="005269F3"/>
    <w:rsid w:val="00527059"/>
    <w:rsid w:val="005307CD"/>
    <w:rsid w:val="0053433F"/>
    <w:rsid w:val="00562710"/>
    <w:rsid w:val="005668FD"/>
    <w:rsid w:val="005737D5"/>
    <w:rsid w:val="00577412"/>
    <w:rsid w:val="0058023A"/>
    <w:rsid w:val="005825BC"/>
    <w:rsid w:val="005902EB"/>
    <w:rsid w:val="005949F3"/>
    <w:rsid w:val="00597D80"/>
    <w:rsid w:val="005A11EB"/>
    <w:rsid w:val="005A2EFD"/>
    <w:rsid w:val="005B0B47"/>
    <w:rsid w:val="005B10CD"/>
    <w:rsid w:val="005B58C2"/>
    <w:rsid w:val="005B7BD7"/>
    <w:rsid w:val="005C39B2"/>
    <w:rsid w:val="005C45DA"/>
    <w:rsid w:val="005C580F"/>
    <w:rsid w:val="005D3260"/>
    <w:rsid w:val="005D7658"/>
    <w:rsid w:val="005D7941"/>
    <w:rsid w:val="005E617D"/>
    <w:rsid w:val="005F0847"/>
    <w:rsid w:val="005F2589"/>
    <w:rsid w:val="0060060A"/>
    <w:rsid w:val="00605AE8"/>
    <w:rsid w:val="00606572"/>
    <w:rsid w:val="006156BF"/>
    <w:rsid w:val="00617B3F"/>
    <w:rsid w:val="006209BC"/>
    <w:rsid w:val="006250BA"/>
    <w:rsid w:val="00625641"/>
    <w:rsid w:val="006406B3"/>
    <w:rsid w:val="00643247"/>
    <w:rsid w:val="00644C60"/>
    <w:rsid w:val="006534DE"/>
    <w:rsid w:val="00654234"/>
    <w:rsid w:val="00666D7B"/>
    <w:rsid w:val="00670E8B"/>
    <w:rsid w:val="00677671"/>
    <w:rsid w:val="00677A47"/>
    <w:rsid w:val="00692EF0"/>
    <w:rsid w:val="00694AA0"/>
    <w:rsid w:val="006952D1"/>
    <w:rsid w:val="006B3B92"/>
    <w:rsid w:val="006C0218"/>
    <w:rsid w:val="006D09A2"/>
    <w:rsid w:val="006D62D1"/>
    <w:rsid w:val="006D6E5F"/>
    <w:rsid w:val="006E2825"/>
    <w:rsid w:val="006E4F8F"/>
    <w:rsid w:val="006F0E89"/>
    <w:rsid w:val="006F1FC7"/>
    <w:rsid w:val="006F4E99"/>
    <w:rsid w:val="00701E36"/>
    <w:rsid w:val="007053F0"/>
    <w:rsid w:val="00705AE7"/>
    <w:rsid w:val="0070632C"/>
    <w:rsid w:val="00706983"/>
    <w:rsid w:val="00706BF4"/>
    <w:rsid w:val="0071101E"/>
    <w:rsid w:val="00713BC2"/>
    <w:rsid w:val="00715B3D"/>
    <w:rsid w:val="00715C23"/>
    <w:rsid w:val="007216A4"/>
    <w:rsid w:val="00726601"/>
    <w:rsid w:val="00731A2B"/>
    <w:rsid w:val="00732F3B"/>
    <w:rsid w:val="00732F6F"/>
    <w:rsid w:val="00734193"/>
    <w:rsid w:val="00734D56"/>
    <w:rsid w:val="0074174E"/>
    <w:rsid w:val="007466C5"/>
    <w:rsid w:val="00751B6B"/>
    <w:rsid w:val="007631BA"/>
    <w:rsid w:val="00770A9C"/>
    <w:rsid w:val="00771B9D"/>
    <w:rsid w:val="007743B3"/>
    <w:rsid w:val="00784E23"/>
    <w:rsid w:val="00787F34"/>
    <w:rsid w:val="007937BF"/>
    <w:rsid w:val="007C351C"/>
    <w:rsid w:val="007C49FB"/>
    <w:rsid w:val="007D0660"/>
    <w:rsid w:val="007E46CE"/>
    <w:rsid w:val="007E50AA"/>
    <w:rsid w:val="007F5FBF"/>
    <w:rsid w:val="007F7A44"/>
    <w:rsid w:val="00801B55"/>
    <w:rsid w:val="00813F5D"/>
    <w:rsid w:val="00817C4A"/>
    <w:rsid w:val="008215E4"/>
    <w:rsid w:val="00825F1F"/>
    <w:rsid w:val="0083317D"/>
    <w:rsid w:val="008556D2"/>
    <w:rsid w:val="008573CA"/>
    <w:rsid w:val="00857B83"/>
    <w:rsid w:val="008621FF"/>
    <w:rsid w:val="00865009"/>
    <w:rsid w:val="00865492"/>
    <w:rsid w:val="00866396"/>
    <w:rsid w:val="0087102F"/>
    <w:rsid w:val="00874492"/>
    <w:rsid w:val="00875250"/>
    <w:rsid w:val="008773EA"/>
    <w:rsid w:val="008839A3"/>
    <w:rsid w:val="008839EB"/>
    <w:rsid w:val="00886FC8"/>
    <w:rsid w:val="00893599"/>
    <w:rsid w:val="00894F27"/>
    <w:rsid w:val="0089605D"/>
    <w:rsid w:val="008A1876"/>
    <w:rsid w:val="008A6263"/>
    <w:rsid w:val="008B1AFB"/>
    <w:rsid w:val="008D0A4B"/>
    <w:rsid w:val="008D4B21"/>
    <w:rsid w:val="008E5B7E"/>
    <w:rsid w:val="008F4D05"/>
    <w:rsid w:val="008F70D7"/>
    <w:rsid w:val="00901C3A"/>
    <w:rsid w:val="009102B7"/>
    <w:rsid w:val="0091326A"/>
    <w:rsid w:val="00914B28"/>
    <w:rsid w:val="00915891"/>
    <w:rsid w:val="0092147C"/>
    <w:rsid w:val="00922070"/>
    <w:rsid w:val="0092388D"/>
    <w:rsid w:val="00924BF3"/>
    <w:rsid w:val="00935DD0"/>
    <w:rsid w:val="00937893"/>
    <w:rsid w:val="00950205"/>
    <w:rsid w:val="00951FF0"/>
    <w:rsid w:val="009528C6"/>
    <w:rsid w:val="00952B7E"/>
    <w:rsid w:val="00953B8A"/>
    <w:rsid w:val="0096115E"/>
    <w:rsid w:val="00964D3E"/>
    <w:rsid w:val="00966420"/>
    <w:rsid w:val="00971281"/>
    <w:rsid w:val="0097476D"/>
    <w:rsid w:val="00976BA3"/>
    <w:rsid w:val="00983745"/>
    <w:rsid w:val="00985CA9"/>
    <w:rsid w:val="00996C64"/>
    <w:rsid w:val="009A4343"/>
    <w:rsid w:val="009A5CCA"/>
    <w:rsid w:val="009A69BE"/>
    <w:rsid w:val="009B2F4E"/>
    <w:rsid w:val="009B6231"/>
    <w:rsid w:val="009B75EA"/>
    <w:rsid w:val="009C60BE"/>
    <w:rsid w:val="009C6664"/>
    <w:rsid w:val="009D30C2"/>
    <w:rsid w:val="009D419D"/>
    <w:rsid w:val="009D4DB7"/>
    <w:rsid w:val="009E0D47"/>
    <w:rsid w:val="009F1EC0"/>
    <w:rsid w:val="009F253B"/>
    <w:rsid w:val="009F44FB"/>
    <w:rsid w:val="009F541D"/>
    <w:rsid w:val="00A14428"/>
    <w:rsid w:val="00A21DA1"/>
    <w:rsid w:val="00A316CE"/>
    <w:rsid w:val="00A45F88"/>
    <w:rsid w:val="00A51EC6"/>
    <w:rsid w:val="00A53D41"/>
    <w:rsid w:val="00A61B0C"/>
    <w:rsid w:val="00A6336F"/>
    <w:rsid w:val="00A732FD"/>
    <w:rsid w:val="00A757EC"/>
    <w:rsid w:val="00A7751E"/>
    <w:rsid w:val="00A8074B"/>
    <w:rsid w:val="00A90D40"/>
    <w:rsid w:val="00AA318E"/>
    <w:rsid w:val="00AA6AB2"/>
    <w:rsid w:val="00AB19F2"/>
    <w:rsid w:val="00AB275F"/>
    <w:rsid w:val="00AB4584"/>
    <w:rsid w:val="00AB5612"/>
    <w:rsid w:val="00AB5E6D"/>
    <w:rsid w:val="00AC2599"/>
    <w:rsid w:val="00AC5AAF"/>
    <w:rsid w:val="00AC73E3"/>
    <w:rsid w:val="00AD1A0B"/>
    <w:rsid w:val="00AD2B46"/>
    <w:rsid w:val="00AE4039"/>
    <w:rsid w:val="00AE49EF"/>
    <w:rsid w:val="00AE552F"/>
    <w:rsid w:val="00AE5666"/>
    <w:rsid w:val="00AE7DF3"/>
    <w:rsid w:val="00AF1226"/>
    <w:rsid w:val="00AF48E1"/>
    <w:rsid w:val="00B02951"/>
    <w:rsid w:val="00B04A4C"/>
    <w:rsid w:val="00B073AE"/>
    <w:rsid w:val="00B0765A"/>
    <w:rsid w:val="00B15DBB"/>
    <w:rsid w:val="00B17A98"/>
    <w:rsid w:val="00B217F4"/>
    <w:rsid w:val="00B21DD9"/>
    <w:rsid w:val="00B235AA"/>
    <w:rsid w:val="00B305B0"/>
    <w:rsid w:val="00B3554F"/>
    <w:rsid w:val="00B40D15"/>
    <w:rsid w:val="00B50CB3"/>
    <w:rsid w:val="00B56183"/>
    <w:rsid w:val="00B574C5"/>
    <w:rsid w:val="00B67A21"/>
    <w:rsid w:val="00B67E4E"/>
    <w:rsid w:val="00B70A29"/>
    <w:rsid w:val="00B74D67"/>
    <w:rsid w:val="00B82C79"/>
    <w:rsid w:val="00BA67F8"/>
    <w:rsid w:val="00BA6CCA"/>
    <w:rsid w:val="00BB0E2B"/>
    <w:rsid w:val="00BB32B4"/>
    <w:rsid w:val="00BB38E6"/>
    <w:rsid w:val="00BB5CA8"/>
    <w:rsid w:val="00BC7695"/>
    <w:rsid w:val="00BD025B"/>
    <w:rsid w:val="00BD1554"/>
    <w:rsid w:val="00BD1789"/>
    <w:rsid w:val="00BD6354"/>
    <w:rsid w:val="00BD692B"/>
    <w:rsid w:val="00BE0D9E"/>
    <w:rsid w:val="00BF0113"/>
    <w:rsid w:val="00BF3A7C"/>
    <w:rsid w:val="00C03403"/>
    <w:rsid w:val="00C108F7"/>
    <w:rsid w:val="00C10C8D"/>
    <w:rsid w:val="00C120BA"/>
    <w:rsid w:val="00C1334D"/>
    <w:rsid w:val="00C13528"/>
    <w:rsid w:val="00C14237"/>
    <w:rsid w:val="00C175EE"/>
    <w:rsid w:val="00C24167"/>
    <w:rsid w:val="00C341D7"/>
    <w:rsid w:val="00C342FC"/>
    <w:rsid w:val="00C4220F"/>
    <w:rsid w:val="00C513B2"/>
    <w:rsid w:val="00C54C00"/>
    <w:rsid w:val="00C61127"/>
    <w:rsid w:val="00C67BE7"/>
    <w:rsid w:val="00C71BA6"/>
    <w:rsid w:val="00C71EAF"/>
    <w:rsid w:val="00C826C1"/>
    <w:rsid w:val="00C86550"/>
    <w:rsid w:val="00C87E5F"/>
    <w:rsid w:val="00C90803"/>
    <w:rsid w:val="00C90B1D"/>
    <w:rsid w:val="00C9261F"/>
    <w:rsid w:val="00CA424D"/>
    <w:rsid w:val="00CB42A9"/>
    <w:rsid w:val="00CC07F5"/>
    <w:rsid w:val="00CC4D92"/>
    <w:rsid w:val="00CC615C"/>
    <w:rsid w:val="00CC6D56"/>
    <w:rsid w:val="00CE2F14"/>
    <w:rsid w:val="00CE5FDB"/>
    <w:rsid w:val="00CF44F6"/>
    <w:rsid w:val="00D03E1B"/>
    <w:rsid w:val="00D04572"/>
    <w:rsid w:val="00D16A7E"/>
    <w:rsid w:val="00D203C7"/>
    <w:rsid w:val="00D21A1B"/>
    <w:rsid w:val="00D27120"/>
    <w:rsid w:val="00D300D4"/>
    <w:rsid w:val="00D32318"/>
    <w:rsid w:val="00D35C08"/>
    <w:rsid w:val="00D3637B"/>
    <w:rsid w:val="00D53A32"/>
    <w:rsid w:val="00D53D39"/>
    <w:rsid w:val="00D55085"/>
    <w:rsid w:val="00D646CB"/>
    <w:rsid w:val="00D7409E"/>
    <w:rsid w:val="00D76D38"/>
    <w:rsid w:val="00D83676"/>
    <w:rsid w:val="00D8375F"/>
    <w:rsid w:val="00D92654"/>
    <w:rsid w:val="00D927A2"/>
    <w:rsid w:val="00D954CA"/>
    <w:rsid w:val="00D97DE8"/>
    <w:rsid w:val="00DA40A3"/>
    <w:rsid w:val="00DA7877"/>
    <w:rsid w:val="00DB2102"/>
    <w:rsid w:val="00DC248F"/>
    <w:rsid w:val="00DC6B9D"/>
    <w:rsid w:val="00DD1B6C"/>
    <w:rsid w:val="00DD6A11"/>
    <w:rsid w:val="00DE04BF"/>
    <w:rsid w:val="00DE4F27"/>
    <w:rsid w:val="00DF0917"/>
    <w:rsid w:val="00DF26D7"/>
    <w:rsid w:val="00DF38B8"/>
    <w:rsid w:val="00E062D2"/>
    <w:rsid w:val="00E068CA"/>
    <w:rsid w:val="00E14845"/>
    <w:rsid w:val="00E16CB4"/>
    <w:rsid w:val="00E21F25"/>
    <w:rsid w:val="00E22E21"/>
    <w:rsid w:val="00E31030"/>
    <w:rsid w:val="00E320D8"/>
    <w:rsid w:val="00E40D9E"/>
    <w:rsid w:val="00E42695"/>
    <w:rsid w:val="00E45237"/>
    <w:rsid w:val="00E505F5"/>
    <w:rsid w:val="00E565C1"/>
    <w:rsid w:val="00E56D0A"/>
    <w:rsid w:val="00E610F5"/>
    <w:rsid w:val="00E675C6"/>
    <w:rsid w:val="00E71252"/>
    <w:rsid w:val="00E7316E"/>
    <w:rsid w:val="00E73CF6"/>
    <w:rsid w:val="00E8389B"/>
    <w:rsid w:val="00EA0E05"/>
    <w:rsid w:val="00EA11CF"/>
    <w:rsid w:val="00EA53C7"/>
    <w:rsid w:val="00EC0B7E"/>
    <w:rsid w:val="00EC21B6"/>
    <w:rsid w:val="00ED4AB3"/>
    <w:rsid w:val="00ED5F78"/>
    <w:rsid w:val="00ED6C45"/>
    <w:rsid w:val="00EE5E34"/>
    <w:rsid w:val="00EE6DE6"/>
    <w:rsid w:val="00EF424D"/>
    <w:rsid w:val="00F00C34"/>
    <w:rsid w:val="00F01965"/>
    <w:rsid w:val="00F02DCE"/>
    <w:rsid w:val="00F02FDF"/>
    <w:rsid w:val="00F17E08"/>
    <w:rsid w:val="00F26857"/>
    <w:rsid w:val="00F31E27"/>
    <w:rsid w:val="00F31E78"/>
    <w:rsid w:val="00F327AC"/>
    <w:rsid w:val="00F4129C"/>
    <w:rsid w:val="00F41A16"/>
    <w:rsid w:val="00F4217A"/>
    <w:rsid w:val="00F434EC"/>
    <w:rsid w:val="00F55BC7"/>
    <w:rsid w:val="00F63CC0"/>
    <w:rsid w:val="00F64264"/>
    <w:rsid w:val="00F64BA4"/>
    <w:rsid w:val="00F66547"/>
    <w:rsid w:val="00F667B7"/>
    <w:rsid w:val="00F72210"/>
    <w:rsid w:val="00F7407A"/>
    <w:rsid w:val="00F86722"/>
    <w:rsid w:val="00F87253"/>
    <w:rsid w:val="00F93F9B"/>
    <w:rsid w:val="00F97B29"/>
    <w:rsid w:val="00FA361C"/>
    <w:rsid w:val="00FA7493"/>
    <w:rsid w:val="00FB393F"/>
    <w:rsid w:val="00FB5A6B"/>
    <w:rsid w:val="00FC220D"/>
    <w:rsid w:val="00FC2DDC"/>
    <w:rsid w:val="00FC7C63"/>
    <w:rsid w:val="00FD10D1"/>
    <w:rsid w:val="00FE5C4E"/>
    <w:rsid w:val="00FF1E9C"/>
    <w:rsid w:val="00FF3B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879F8"/>
    <w:pPr>
      <w:snapToGrid w:val="0"/>
      <w:spacing w:afterLines="50"/>
      <w:jc w:val="both"/>
    </w:pPr>
    <w:rPr>
      <w:rFonts w:ascii="標楷體" w:eastAsia="標楷體" w:hAnsi="Algerian"/>
      <w:b/>
      <w:sz w:val="36"/>
      <w:szCs w:val="24"/>
    </w:rPr>
  </w:style>
  <w:style w:type="character" w:customStyle="1" w:styleId="a4">
    <w:name w:val="本文 字元"/>
    <w:basedOn w:val="a0"/>
    <w:link w:val="a3"/>
    <w:semiHidden/>
    <w:rsid w:val="004879F8"/>
    <w:rPr>
      <w:rFonts w:ascii="標楷體" w:eastAsia="標楷體" w:hAnsi="Algerian" w:cs="Times New Roman"/>
      <w:b/>
      <w:sz w:val="36"/>
      <w:szCs w:val="24"/>
    </w:rPr>
  </w:style>
  <w:style w:type="paragraph" w:styleId="a5">
    <w:name w:val="header"/>
    <w:basedOn w:val="a"/>
    <w:link w:val="a6"/>
    <w:uiPriority w:val="99"/>
    <w:semiHidden/>
    <w:unhideWhenUsed/>
    <w:rsid w:val="004879F8"/>
    <w:pPr>
      <w:tabs>
        <w:tab w:val="center" w:pos="4153"/>
        <w:tab w:val="right" w:pos="8306"/>
      </w:tabs>
      <w:snapToGrid w:val="0"/>
    </w:pPr>
    <w:rPr>
      <w:sz w:val="20"/>
      <w:szCs w:val="20"/>
    </w:rPr>
  </w:style>
  <w:style w:type="character" w:customStyle="1" w:styleId="a6">
    <w:name w:val="頁首 字元"/>
    <w:basedOn w:val="a0"/>
    <w:link w:val="a5"/>
    <w:uiPriority w:val="99"/>
    <w:semiHidden/>
    <w:rsid w:val="004879F8"/>
    <w:rPr>
      <w:sz w:val="20"/>
      <w:szCs w:val="20"/>
    </w:rPr>
  </w:style>
  <w:style w:type="paragraph" w:styleId="a7">
    <w:name w:val="footer"/>
    <w:basedOn w:val="a"/>
    <w:link w:val="a8"/>
    <w:uiPriority w:val="99"/>
    <w:unhideWhenUsed/>
    <w:rsid w:val="004879F8"/>
    <w:pPr>
      <w:tabs>
        <w:tab w:val="center" w:pos="4153"/>
        <w:tab w:val="right" w:pos="8306"/>
      </w:tabs>
      <w:snapToGrid w:val="0"/>
    </w:pPr>
    <w:rPr>
      <w:sz w:val="20"/>
      <w:szCs w:val="20"/>
    </w:rPr>
  </w:style>
  <w:style w:type="character" w:customStyle="1" w:styleId="a8">
    <w:name w:val="頁尾 字元"/>
    <w:basedOn w:val="a0"/>
    <w:link w:val="a7"/>
    <w:uiPriority w:val="99"/>
    <w:rsid w:val="004879F8"/>
    <w:rPr>
      <w:sz w:val="20"/>
      <w:szCs w:val="20"/>
    </w:rPr>
  </w:style>
  <w:style w:type="table" w:styleId="a9">
    <w:name w:val="Table Grid"/>
    <w:basedOn w:val="a1"/>
    <w:uiPriority w:val="59"/>
    <w:rsid w:val="00487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00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F00C34"/>
    <w:rPr>
      <w:rFonts w:ascii="細明體" w:eastAsia="細明體" w:hAnsi="細明體" w:cs="細明體"/>
      <w:color w:val="333333"/>
      <w:sz w:val="24"/>
      <w:szCs w:val="24"/>
    </w:rPr>
  </w:style>
  <w:style w:type="paragraph" w:styleId="aa">
    <w:name w:val="List Paragraph"/>
    <w:basedOn w:val="a"/>
    <w:uiPriority w:val="34"/>
    <w:qFormat/>
    <w:rsid w:val="000A461E"/>
    <w:pPr>
      <w:ind w:leftChars="200" w:left="480"/>
    </w:pPr>
    <w:rPr>
      <w:rFonts w:asciiTheme="minorHAnsi" w:eastAsiaTheme="minorEastAsia" w:hAnsiTheme="minorHAnsi" w:cstheme="minorBidi"/>
    </w:rPr>
  </w:style>
  <w:style w:type="paragraph" w:styleId="ab">
    <w:name w:val="Balloon Text"/>
    <w:basedOn w:val="a"/>
    <w:link w:val="ac"/>
    <w:uiPriority w:val="99"/>
    <w:semiHidden/>
    <w:unhideWhenUsed/>
    <w:rsid w:val="00C1352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13528"/>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8839A3"/>
    <w:rPr>
      <w:sz w:val="18"/>
      <w:szCs w:val="18"/>
    </w:rPr>
  </w:style>
  <w:style w:type="paragraph" w:styleId="ae">
    <w:name w:val="annotation text"/>
    <w:basedOn w:val="a"/>
    <w:link w:val="af"/>
    <w:uiPriority w:val="99"/>
    <w:semiHidden/>
    <w:unhideWhenUsed/>
    <w:rsid w:val="008839A3"/>
  </w:style>
  <w:style w:type="character" w:customStyle="1" w:styleId="af">
    <w:name w:val="註解文字 字元"/>
    <w:basedOn w:val="a0"/>
    <w:link w:val="ae"/>
    <w:uiPriority w:val="99"/>
    <w:semiHidden/>
    <w:rsid w:val="008839A3"/>
    <w:rPr>
      <w:kern w:val="2"/>
      <w:sz w:val="24"/>
      <w:szCs w:val="22"/>
    </w:rPr>
  </w:style>
  <w:style w:type="paragraph" w:styleId="af0">
    <w:name w:val="annotation subject"/>
    <w:basedOn w:val="ae"/>
    <w:next w:val="ae"/>
    <w:link w:val="af1"/>
    <w:uiPriority w:val="99"/>
    <w:semiHidden/>
    <w:unhideWhenUsed/>
    <w:rsid w:val="008839A3"/>
    <w:rPr>
      <w:b/>
      <w:bCs/>
    </w:rPr>
  </w:style>
  <w:style w:type="character" w:customStyle="1" w:styleId="af1">
    <w:name w:val="註解主旨 字元"/>
    <w:basedOn w:val="af"/>
    <w:link w:val="af0"/>
    <w:uiPriority w:val="99"/>
    <w:semiHidden/>
    <w:rsid w:val="008839A3"/>
    <w:rPr>
      <w:b/>
      <w:bCs/>
    </w:rPr>
  </w:style>
  <w:style w:type="paragraph" w:styleId="af2">
    <w:name w:val="Revision"/>
    <w:hidden/>
    <w:uiPriority w:val="99"/>
    <w:semiHidden/>
    <w:rsid w:val="00770A9C"/>
    <w:rPr>
      <w:kern w:val="2"/>
      <w:sz w:val="24"/>
      <w:szCs w:val="22"/>
    </w:rPr>
  </w:style>
</w:styles>
</file>

<file path=word/webSettings.xml><?xml version="1.0" encoding="utf-8"?>
<w:webSettings xmlns:r="http://schemas.openxmlformats.org/officeDocument/2006/relationships" xmlns:w="http://schemas.openxmlformats.org/wordprocessingml/2006/main">
  <w:divs>
    <w:div w:id="160003955">
      <w:bodyDiv w:val="1"/>
      <w:marLeft w:val="0"/>
      <w:marRight w:val="0"/>
      <w:marTop w:val="0"/>
      <w:marBottom w:val="0"/>
      <w:divBdr>
        <w:top w:val="none" w:sz="0" w:space="0" w:color="auto"/>
        <w:left w:val="none" w:sz="0" w:space="0" w:color="auto"/>
        <w:bottom w:val="none" w:sz="0" w:space="0" w:color="auto"/>
        <w:right w:val="none" w:sz="0" w:space="0" w:color="auto"/>
      </w:divBdr>
    </w:div>
    <w:div w:id="756680635">
      <w:bodyDiv w:val="1"/>
      <w:marLeft w:val="0"/>
      <w:marRight w:val="0"/>
      <w:marTop w:val="0"/>
      <w:marBottom w:val="0"/>
      <w:divBdr>
        <w:top w:val="none" w:sz="0" w:space="0" w:color="auto"/>
        <w:left w:val="none" w:sz="0" w:space="0" w:color="auto"/>
        <w:bottom w:val="none" w:sz="0" w:space="0" w:color="auto"/>
        <w:right w:val="none" w:sz="0" w:space="0" w:color="auto"/>
      </w:divBdr>
    </w:div>
    <w:div w:id="864905500">
      <w:bodyDiv w:val="1"/>
      <w:marLeft w:val="0"/>
      <w:marRight w:val="0"/>
      <w:marTop w:val="0"/>
      <w:marBottom w:val="0"/>
      <w:divBdr>
        <w:top w:val="none" w:sz="0" w:space="0" w:color="auto"/>
        <w:left w:val="none" w:sz="0" w:space="0" w:color="auto"/>
        <w:bottom w:val="none" w:sz="0" w:space="0" w:color="auto"/>
        <w:right w:val="none" w:sz="0" w:space="0" w:color="auto"/>
      </w:divBdr>
    </w:div>
    <w:div w:id="997660322">
      <w:bodyDiv w:val="1"/>
      <w:marLeft w:val="0"/>
      <w:marRight w:val="0"/>
      <w:marTop w:val="0"/>
      <w:marBottom w:val="0"/>
      <w:divBdr>
        <w:top w:val="none" w:sz="0" w:space="0" w:color="auto"/>
        <w:left w:val="none" w:sz="0" w:space="0" w:color="auto"/>
        <w:bottom w:val="none" w:sz="0" w:space="0" w:color="auto"/>
        <w:right w:val="none" w:sz="0" w:space="0" w:color="auto"/>
      </w:divBdr>
    </w:div>
    <w:div w:id="1177118955">
      <w:bodyDiv w:val="1"/>
      <w:marLeft w:val="0"/>
      <w:marRight w:val="0"/>
      <w:marTop w:val="0"/>
      <w:marBottom w:val="0"/>
      <w:divBdr>
        <w:top w:val="none" w:sz="0" w:space="0" w:color="auto"/>
        <w:left w:val="none" w:sz="0" w:space="0" w:color="auto"/>
        <w:bottom w:val="none" w:sz="0" w:space="0" w:color="auto"/>
        <w:right w:val="none" w:sz="0" w:space="0" w:color="auto"/>
      </w:divBdr>
    </w:div>
    <w:div w:id="1196774273">
      <w:bodyDiv w:val="1"/>
      <w:marLeft w:val="0"/>
      <w:marRight w:val="0"/>
      <w:marTop w:val="0"/>
      <w:marBottom w:val="0"/>
      <w:divBdr>
        <w:top w:val="none" w:sz="0" w:space="0" w:color="auto"/>
        <w:left w:val="none" w:sz="0" w:space="0" w:color="auto"/>
        <w:bottom w:val="none" w:sz="0" w:space="0" w:color="auto"/>
        <w:right w:val="none" w:sz="0" w:space="0" w:color="auto"/>
      </w:divBdr>
    </w:div>
    <w:div w:id="1446005001">
      <w:bodyDiv w:val="1"/>
      <w:marLeft w:val="0"/>
      <w:marRight w:val="0"/>
      <w:marTop w:val="0"/>
      <w:marBottom w:val="0"/>
      <w:divBdr>
        <w:top w:val="none" w:sz="0" w:space="0" w:color="auto"/>
        <w:left w:val="none" w:sz="0" w:space="0" w:color="auto"/>
        <w:bottom w:val="none" w:sz="0" w:space="0" w:color="auto"/>
        <w:right w:val="none" w:sz="0" w:space="0" w:color="auto"/>
      </w:divBdr>
    </w:div>
    <w:div w:id="1844929531">
      <w:bodyDiv w:val="1"/>
      <w:marLeft w:val="0"/>
      <w:marRight w:val="0"/>
      <w:marTop w:val="0"/>
      <w:marBottom w:val="0"/>
      <w:divBdr>
        <w:top w:val="none" w:sz="0" w:space="0" w:color="auto"/>
        <w:left w:val="none" w:sz="0" w:space="0" w:color="auto"/>
        <w:bottom w:val="none" w:sz="0" w:space="0" w:color="auto"/>
        <w:right w:val="none" w:sz="0" w:space="0" w:color="auto"/>
      </w:divBdr>
    </w:div>
    <w:div w:id="19404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E93AB-7BB6-49E6-A4B9-5E9205C9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1041</dc:creator>
  <cp:lastModifiedBy>0440</cp:lastModifiedBy>
  <cp:revision>11</cp:revision>
  <cp:lastPrinted>2014-11-04T06:22:00Z</cp:lastPrinted>
  <dcterms:created xsi:type="dcterms:W3CDTF">2014-10-14T05:45:00Z</dcterms:created>
  <dcterms:modified xsi:type="dcterms:W3CDTF">2014-11-04T08:10:00Z</dcterms:modified>
</cp:coreProperties>
</file>