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80" w:rsidRPr="00F2301B" w:rsidRDefault="00C457E7" w:rsidP="00FC0436">
      <w:pPr>
        <w:widowControl/>
        <w:adjustRightInd w:val="0"/>
        <w:snapToGrid w:val="0"/>
        <w:spacing w:after="120"/>
        <w:jc w:val="center"/>
        <w:rPr>
          <w:rFonts w:ascii="標楷體" w:eastAsia="標楷體" w:hAnsi="標楷體"/>
          <w:color w:val="000000"/>
          <w:sz w:val="32"/>
          <w:szCs w:val="32"/>
        </w:rPr>
      </w:pPr>
      <w:r w:rsidRPr="00063765">
        <w:rPr>
          <w:rFonts w:ascii="標楷體" w:eastAsia="標楷體" w:hAnsi="標楷體"/>
          <w:color w:val="000000"/>
          <w:sz w:val="32"/>
          <w:szCs w:val="32"/>
        </w:rPr>
        <w:t>臺灣證券交易所股份有限公司停業證券商申請復業辦法</w:t>
      </w:r>
      <w:r w:rsidR="000B057A" w:rsidRPr="00F2301B">
        <w:rPr>
          <w:rFonts w:ascii="標楷體" w:eastAsia="標楷體" w:hAnsi="標楷體"/>
          <w:color w:val="000000"/>
          <w:sz w:val="32"/>
          <w:szCs w:val="32"/>
        </w:rPr>
        <w:t>第</w:t>
      </w:r>
      <w:r w:rsidR="000B057A" w:rsidRPr="00F2301B">
        <w:rPr>
          <w:rFonts w:ascii="標楷體" w:eastAsia="標楷體" w:hAnsi="標楷體" w:hint="eastAsia"/>
          <w:color w:val="000000"/>
          <w:sz w:val="32"/>
          <w:szCs w:val="32"/>
        </w:rPr>
        <w:t>七</w:t>
      </w:r>
      <w:r w:rsidR="000B057A" w:rsidRPr="00F2301B">
        <w:rPr>
          <w:rFonts w:ascii="標楷體" w:eastAsia="標楷體" w:hAnsi="標楷體"/>
          <w:color w:val="000000"/>
          <w:sz w:val="32"/>
          <w:szCs w:val="32"/>
        </w:rPr>
        <w:t>條</w:t>
      </w:r>
      <w:r w:rsidR="000B057A" w:rsidRPr="00F2301B">
        <w:rPr>
          <w:rFonts w:ascii="標楷體" w:eastAsia="標楷體" w:hAnsi="標楷體" w:hint="eastAsia"/>
          <w:color w:val="000000"/>
          <w:sz w:val="32"/>
          <w:szCs w:val="32"/>
        </w:rPr>
        <w:t>修正條文對照表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7"/>
        <w:gridCol w:w="2787"/>
        <w:gridCol w:w="2788"/>
      </w:tblGrid>
      <w:tr w:rsidR="004116CF" w:rsidRPr="002310F6" w:rsidTr="00DC7B60">
        <w:tc>
          <w:tcPr>
            <w:tcW w:w="2787" w:type="dxa"/>
          </w:tcPr>
          <w:p w:rsidR="004116CF" w:rsidRPr="002310F6" w:rsidRDefault="004116CF" w:rsidP="00DC7B60">
            <w:pPr>
              <w:adjustRightInd w:val="0"/>
              <w:snapToGrid w:val="0"/>
              <w:spacing w:line="300" w:lineRule="exact"/>
              <w:jc w:val="center"/>
              <w:rPr>
                <w:rFonts w:ascii="標楷體" w:eastAsia="標楷體" w:hAnsi="標楷體"/>
                <w:bCs/>
              </w:rPr>
            </w:pPr>
            <w:r w:rsidRPr="002310F6">
              <w:rPr>
                <w:rFonts w:ascii="標楷體" w:eastAsia="標楷體" w:hAnsi="標楷體"/>
              </w:rPr>
              <w:t>修正條文</w:t>
            </w:r>
          </w:p>
        </w:tc>
        <w:tc>
          <w:tcPr>
            <w:tcW w:w="2787" w:type="dxa"/>
          </w:tcPr>
          <w:p w:rsidR="004116CF" w:rsidRPr="002310F6" w:rsidRDefault="004116CF" w:rsidP="00DC7B60">
            <w:pPr>
              <w:adjustRightInd w:val="0"/>
              <w:snapToGrid w:val="0"/>
              <w:spacing w:line="300" w:lineRule="exact"/>
              <w:jc w:val="center"/>
              <w:rPr>
                <w:rFonts w:ascii="標楷體" w:eastAsia="標楷體" w:hAnsi="標楷體"/>
                <w:bCs/>
              </w:rPr>
            </w:pPr>
            <w:r w:rsidRPr="002310F6">
              <w:rPr>
                <w:rFonts w:ascii="標楷體" w:eastAsia="標楷體" w:hAnsi="標楷體"/>
              </w:rPr>
              <w:t>現行條文</w:t>
            </w:r>
          </w:p>
        </w:tc>
        <w:tc>
          <w:tcPr>
            <w:tcW w:w="2788" w:type="dxa"/>
          </w:tcPr>
          <w:p w:rsidR="004116CF" w:rsidRPr="002310F6" w:rsidRDefault="004116CF" w:rsidP="00DC7B60">
            <w:pPr>
              <w:adjustRightInd w:val="0"/>
              <w:snapToGrid w:val="0"/>
              <w:spacing w:line="300" w:lineRule="exact"/>
              <w:jc w:val="center"/>
              <w:rPr>
                <w:rFonts w:ascii="標楷體" w:eastAsia="標楷體" w:hAnsi="標楷體"/>
                <w:bCs/>
              </w:rPr>
            </w:pPr>
            <w:r w:rsidRPr="002310F6">
              <w:rPr>
                <w:rFonts w:ascii="標楷體" w:eastAsia="標楷體" w:hAnsi="標楷體"/>
              </w:rPr>
              <w:t>說明</w:t>
            </w:r>
          </w:p>
        </w:tc>
      </w:tr>
      <w:tr w:rsidR="004116CF" w:rsidRPr="002310F6" w:rsidTr="006D44E8">
        <w:trPr>
          <w:trHeight w:val="8513"/>
        </w:trPr>
        <w:tc>
          <w:tcPr>
            <w:tcW w:w="2787" w:type="dxa"/>
          </w:tcPr>
          <w:p w:rsidR="0011262E" w:rsidRPr="002310F6" w:rsidRDefault="0011262E" w:rsidP="00DC7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2310F6">
              <w:rPr>
                <w:rFonts w:ascii="標楷體" w:eastAsia="標楷體" w:hAnsi="標楷體" w:cs="細明體"/>
                <w:kern w:val="0"/>
                <w:szCs w:val="24"/>
              </w:rPr>
              <w:t>第</w:t>
            </w:r>
            <w:r w:rsidRPr="002310F6">
              <w:rPr>
                <w:rFonts w:ascii="標楷體" w:eastAsia="標楷體" w:hAnsi="標楷體" w:cs="細明體" w:hint="eastAsia"/>
                <w:kern w:val="0"/>
                <w:szCs w:val="24"/>
              </w:rPr>
              <w:t>七</w:t>
            </w:r>
            <w:r w:rsidRPr="002310F6">
              <w:rPr>
                <w:rFonts w:ascii="標楷體" w:eastAsia="標楷體" w:hAnsi="標楷體" w:cs="細明體"/>
                <w:kern w:val="0"/>
                <w:szCs w:val="24"/>
              </w:rPr>
              <w:t>條</w:t>
            </w:r>
          </w:p>
          <w:p w:rsidR="00C457E7" w:rsidRPr="00CF3EBA" w:rsidRDefault="00C457E7" w:rsidP="00C457E7">
            <w:pPr>
              <w:pStyle w:val="HTML"/>
              <w:rPr>
                <w:rFonts w:ascii="標楷體" w:eastAsia="標楷體" w:hAnsi="標楷體"/>
                <w:color w:val="000000"/>
              </w:rPr>
            </w:pPr>
            <w:r w:rsidRPr="00063765">
              <w:rPr>
                <w:rFonts w:ascii="標楷體" w:eastAsia="標楷體" w:hAnsi="標楷體"/>
                <w:color w:val="000000"/>
              </w:rPr>
              <w:t>停業證券商申請復業，經審查不符本辦法規定，經補正並將正式通知送達本公司者，得視情形恢復或延後恢復該證券商買賣</w:t>
            </w:r>
            <w:r w:rsidRPr="00CF3EBA">
              <w:rPr>
                <w:rFonts w:ascii="標楷體" w:eastAsia="標楷體" w:hAnsi="標楷體"/>
                <w:color w:val="000000"/>
              </w:rPr>
              <w:t>。</w:t>
            </w:r>
          </w:p>
          <w:p w:rsidR="00C457E7" w:rsidRPr="00C457E7" w:rsidRDefault="00C457E7" w:rsidP="00C45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63765">
              <w:rPr>
                <w:rFonts w:ascii="標楷體" w:eastAsia="標楷體" w:hAnsi="標楷體" w:cs="細明體"/>
                <w:color w:val="000000"/>
                <w:kern w:val="0"/>
                <w:szCs w:val="24"/>
              </w:rPr>
              <w:t>停業證券商申請復業，經審查不符本辦法規定而未補正者，</w:t>
            </w:r>
            <w:proofErr w:type="gramStart"/>
            <w:r w:rsidRPr="00063765">
              <w:rPr>
                <w:rFonts w:ascii="標楷體" w:eastAsia="標楷體" w:hAnsi="標楷體" w:cs="細明體"/>
                <w:color w:val="000000"/>
                <w:kern w:val="0"/>
                <w:szCs w:val="24"/>
              </w:rPr>
              <w:t>得暫不</w:t>
            </w:r>
            <w:proofErr w:type="gramEnd"/>
            <w:r w:rsidRPr="00063765">
              <w:rPr>
                <w:rFonts w:ascii="標楷體" w:eastAsia="標楷體" w:hAnsi="標楷體" w:cs="細明體"/>
                <w:color w:val="000000"/>
                <w:kern w:val="0"/>
                <w:szCs w:val="24"/>
              </w:rPr>
              <w:t>恢復該證券商買賣。</w:t>
            </w:r>
          </w:p>
          <w:p w:rsidR="00DA2A13" w:rsidRPr="00CF3EBA" w:rsidRDefault="00C457E7" w:rsidP="00C457E7">
            <w:pPr>
              <w:pStyle w:val="HTML"/>
              <w:rPr>
                <w:rFonts w:ascii="標楷體" w:eastAsia="標楷體" w:hAnsi="標楷體"/>
                <w:color w:val="000000"/>
              </w:rPr>
            </w:pPr>
            <w:r w:rsidRPr="00063765">
              <w:rPr>
                <w:rFonts w:ascii="標楷體" w:eastAsia="標楷體" w:hAnsi="標楷體"/>
                <w:color w:val="000000"/>
              </w:rPr>
              <w:t>停業證券商申請復業，經審查有前二項情事而延後恢復或暫不恢復該證券商買賣時，</w:t>
            </w:r>
            <w:r w:rsidR="00586DA6" w:rsidRPr="00586DA6">
              <w:rPr>
                <w:rFonts w:ascii="標楷體" w:eastAsia="標楷體" w:hAnsi="標楷體" w:hint="eastAsia"/>
                <w:color w:val="000000"/>
                <w:u w:val="single"/>
              </w:rPr>
              <w:t>並陳</w:t>
            </w:r>
            <w:r w:rsidR="00586DA6" w:rsidRPr="00586DA6">
              <w:rPr>
                <w:rFonts w:ascii="標楷體" w:eastAsia="標楷體" w:hAnsi="標楷體"/>
                <w:color w:val="000000"/>
                <w:u w:val="single"/>
              </w:rPr>
              <w:t>報</w:t>
            </w:r>
            <w:r w:rsidRPr="00063765">
              <w:rPr>
                <w:rFonts w:ascii="標楷體" w:eastAsia="標楷體" w:hAnsi="標楷體"/>
                <w:color w:val="000000"/>
              </w:rPr>
              <w:t>主管機關備查。</w:t>
            </w:r>
          </w:p>
          <w:p w:rsidR="004116CF" w:rsidRPr="002310F6" w:rsidRDefault="004116CF" w:rsidP="00BF2C7A">
            <w:pPr>
              <w:rPr>
                <w:rFonts w:ascii="標楷體" w:eastAsia="標楷體" w:hAnsi="標楷體"/>
              </w:rPr>
            </w:pPr>
          </w:p>
        </w:tc>
        <w:tc>
          <w:tcPr>
            <w:tcW w:w="2787" w:type="dxa"/>
          </w:tcPr>
          <w:p w:rsidR="0011262E" w:rsidRPr="002310F6" w:rsidRDefault="0011262E" w:rsidP="00DC7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2310F6">
              <w:rPr>
                <w:rFonts w:ascii="標楷體" w:eastAsia="標楷體" w:hAnsi="標楷體" w:cs="細明體"/>
                <w:kern w:val="0"/>
                <w:szCs w:val="24"/>
              </w:rPr>
              <w:t>第</w:t>
            </w:r>
            <w:r w:rsidRPr="002310F6">
              <w:rPr>
                <w:rFonts w:ascii="標楷體" w:eastAsia="標楷體" w:hAnsi="標楷體" w:cs="細明體" w:hint="eastAsia"/>
                <w:kern w:val="0"/>
                <w:szCs w:val="24"/>
              </w:rPr>
              <w:t>七</w:t>
            </w:r>
            <w:r w:rsidRPr="002310F6">
              <w:rPr>
                <w:rFonts w:ascii="標楷體" w:eastAsia="標楷體" w:hAnsi="標楷體" w:cs="細明體"/>
                <w:kern w:val="0"/>
                <w:szCs w:val="24"/>
              </w:rPr>
              <w:t>條</w:t>
            </w:r>
          </w:p>
          <w:p w:rsidR="00DA2A13" w:rsidRPr="00CF3EBA" w:rsidRDefault="00C457E7" w:rsidP="00DA2A13">
            <w:pPr>
              <w:pStyle w:val="HTML"/>
              <w:rPr>
                <w:rFonts w:ascii="標楷體" w:eastAsia="標楷體" w:hAnsi="標楷體"/>
                <w:color w:val="000000"/>
              </w:rPr>
            </w:pPr>
            <w:r w:rsidRPr="00063765">
              <w:rPr>
                <w:rFonts w:ascii="標楷體" w:eastAsia="標楷體" w:hAnsi="標楷體"/>
                <w:color w:val="000000"/>
              </w:rPr>
              <w:t>停業證券商申請復業，經審查不符本辦法規定，經補正並將正式通知送達本公司者，得視情形恢復或延後恢復該證券商買賣</w:t>
            </w:r>
            <w:r w:rsidR="00DA2A13" w:rsidRPr="00CF3EBA">
              <w:rPr>
                <w:rFonts w:ascii="標楷體" w:eastAsia="標楷體" w:hAnsi="標楷體"/>
                <w:color w:val="000000"/>
              </w:rPr>
              <w:t>。</w:t>
            </w:r>
          </w:p>
          <w:p w:rsidR="004116CF" w:rsidRPr="00C457E7" w:rsidRDefault="00C457E7" w:rsidP="00F643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63765">
              <w:rPr>
                <w:rFonts w:ascii="標楷體" w:eastAsia="標楷體" w:hAnsi="標楷體" w:cs="細明體"/>
                <w:color w:val="000000"/>
                <w:kern w:val="0"/>
                <w:szCs w:val="24"/>
              </w:rPr>
              <w:t>停業證券商申請復業，經審查不符本辦法規定而未補正者，</w:t>
            </w:r>
            <w:proofErr w:type="gramStart"/>
            <w:r w:rsidRPr="00063765">
              <w:rPr>
                <w:rFonts w:ascii="標楷體" w:eastAsia="標楷體" w:hAnsi="標楷體" w:cs="細明體"/>
                <w:color w:val="000000"/>
                <w:kern w:val="0"/>
                <w:szCs w:val="24"/>
              </w:rPr>
              <w:t>得暫不</w:t>
            </w:r>
            <w:proofErr w:type="gramEnd"/>
            <w:r w:rsidRPr="00063765">
              <w:rPr>
                <w:rFonts w:ascii="標楷體" w:eastAsia="標楷體" w:hAnsi="標楷體" w:cs="細明體"/>
                <w:color w:val="000000"/>
                <w:kern w:val="0"/>
                <w:szCs w:val="24"/>
              </w:rPr>
              <w:t>恢復該證券商買賣。</w:t>
            </w:r>
          </w:p>
          <w:p w:rsidR="00DA2A13" w:rsidRDefault="00C457E7" w:rsidP="00F643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063765">
              <w:rPr>
                <w:rFonts w:ascii="標楷體" w:eastAsia="標楷體" w:hAnsi="標楷體" w:cs="細明體"/>
                <w:color w:val="000000"/>
                <w:kern w:val="0"/>
                <w:szCs w:val="24"/>
              </w:rPr>
              <w:t>停業證券商申請復業，經審查有前二項情事而延後恢復或暫不恢復該證券商買賣時，應即函報主管機關備查</w:t>
            </w:r>
            <w:r w:rsidRPr="00063765">
              <w:rPr>
                <w:rFonts w:ascii="標楷體" w:eastAsia="標楷體" w:hAnsi="標楷體" w:cs="細明體"/>
                <w:color w:val="000000"/>
                <w:kern w:val="0"/>
                <w:szCs w:val="24"/>
                <w:u w:val="single"/>
              </w:rPr>
              <w:t>，並提請本公司董事會追認</w:t>
            </w:r>
            <w:r w:rsidRPr="00063765">
              <w:rPr>
                <w:rFonts w:ascii="標楷體" w:eastAsia="標楷體" w:hAnsi="標楷體" w:cs="細明體"/>
                <w:color w:val="000000"/>
                <w:kern w:val="0"/>
                <w:szCs w:val="24"/>
              </w:rPr>
              <w:t>。</w:t>
            </w:r>
          </w:p>
          <w:p w:rsidR="00DA2A13" w:rsidRDefault="00DA2A13" w:rsidP="00F643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p w:rsidR="00DA2A13" w:rsidRPr="00DA2A13" w:rsidRDefault="00DA2A13" w:rsidP="00F643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tc>
        <w:tc>
          <w:tcPr>
            <w:tcW w:w="2788" w:type="dxa"/>
          </w:tcPr>
          <w:p w:rsidR="00C00C1F" w:rsidRDefault="007D5F6E">
            <w:pPr>
              <w:pStyle w:val="HTML"/>
              <w:numPr>
                <w:ilvl w:val="0"/>
                <w:numId w:val="4"/>
              </w:numPr>
              <w:rPr>
                <w:rFonts w:ascii="標楷體" w:eastAsia="標楷體" w:hAnsi="標楷體"/>
                <w:color w:val="000000"/>
              </w:rPr>
            </w:pPr>
            <w:r w:rsidRPr="007D5F6E">
              <w:rPr>
                <w:rFonts w:ascii="標楷體" w:eastAsia="標楷體" w:hAnsi="標楷體" w:hint="eastAsia"/>
                <w:color w:val="000000"/>
              </w:rPr>
              <w:t>按</w:t>
            </w:r>
            <w:r w:rsidR="00800751">
              <w:rPr>
                <w:rFonts w:ascii="標楷體" w:eastAsia="標楷體" w:hAnsi="標楷體" w:hint="eastAsia"/>
                <w:color w:val="000000"/>
              </w:rPr>
              <w:t>本</w:t>
            </w:r>
            <w:r w:rsidRPr="007D5F6E">
              <w:rPr>
                <w:rFonts w:ascii="標楷體" w:eastAsia="標楷體" w:hAnsi="標楷體" w:hint="eastAsia"/>
                <w:color w:val="000000"/>
              </w:rPr>
              <w:t>公司章程第</w:t>
            </w:r>
            <w:r w:rsidR="001F6FFB">
              <w:rPr>
                <w:rFonts w:ascii="標楷體" w:eastAsia="標楷體" w:hAnsi="標楷體" w:hint="eastAsia"/>
                <w:color w:val="000000"/>
              </w:rPr>
              <w:t>二十三</w:t>
            </w:r>
            <w:r w:rsidRPr="007D5F6E">
              <w:rPr>
                <w:rFonts w:ascii="標楷體" w:eastAsia="標楷體" w:hAnsi="標楷體" w:hint="eastAsia"/>
                <w:color w:val="000000"/>
              </w:rPr>
              <w:t>條第</w:t>
            </w:r>
            <w:r w:rsidR="001F6FFB">
              <w:rPr>
                <w:rFonts w:ascii="標楷體" w:eastAsia="標楷體" w:hAnsi="標楷體" w:hint="eastAsia"/>
                <w:color w:val="000000"/>
              </w:rPr>
              <w:t>九</w:t>
            </w:r>
            <w:r w:rsidRPr="007D5F6E">
              <w:rPr>
                <w:rFonts w:ascii="標楷體" w:eastAsia="標楷體" w:hAnsi="標楷體" w:hint="eastAsia"/>
                <w:color w:val="000000"/>
              </w:rPr>
              <w:t>款</w:t>
            </w:r>
            <w:r w:rsidR="00800751" w:rsidRPr="007D5F6E">
              <w:rPr>
                <w:rFonts w:ascii="標楷體" w:eastAsia="標楷體" w:hAnsi="標楷體" w:hint="eastAsia"/>
                <w:color w:val="000000"/>
              </w:rPr>
              <w:t>有關董事會權責</w:t>
            </w:r>
            <w:r w:rsidR="00800751">
              <w:rPr>
                <w:rFonts w:ascii="標楷體" w:eastAsia="標楷體" w:hAnsi="標楷體" w:hint="eastAsia"/>
                <w:color w:val="000000"/>
              </w:rPr>
              <w:t>為</w:t>
            </w:r>
            <w:r w:rsidRPr="007D5F6E">
              <w:rPr>
                <w:rFonts w:ascii="標楷體" w:eastAsia="標楷體" w:hAnsi="標楷體" w:hint="eastAsia"/>
                <w:color w:val="000000"/>
              </w:rPr>
              <w:t>「核議證券經紀商、證券自營商於本公司集中交易市場因買賣違反法令章則及違約事件，</w:t>
            </w:r>
            <w:r w:rsidRPr="00AE3CD4">
              <w:rPr>
                <w:rFonts w:ascii="標楷體" w:eastAsia="標楷體" w:hAnsi="標楷體" w:hint="eastAsia"/>
                <w:color w:val="000000"/>
              </w:rPr>
              <w:t>而處以限制或停止買賣或中止供給使用有價證券集中交易市場契約之案件。」，</w:t>
            </w:r>
            <w:r w:rsidRPr="007D5F6E">
              <w:rPr>
                <w:rFonts w:ascii="標楷體" w:eastAsia="標楷體" w:hAnsi="標楷體" w:hint="eastAsia"/>
                <w:color w:val="000000"/>
              </w:rPr>
              <w:t>故對證券商</w:t>
            </w:r>
            <w:r w:rsidRPr="00063765">
              <w:rPr>
                <w:rFonts w:ascii="標楷體" w:eastAsia="標楷體" w:hAnsi="標楷體"/>
                <w:color w:val="000000"/>
              </w:rPr>
              <w:t>申請復業</w:t>
            </w:r>
            <w:r w:rsidRPr="007D5F6E">
              <w:rPr>
                <w:rFonts w:ascii="標楷體" w:eastAsia="標楷體" w:hAnsi="標楷體" w:hint="eastAsia"/>
                <w:color w:val="000000"/>
              </w:rPr>
              <w:t>，毋須再提報董事會</w:t>
            </w:r>
            <w:r w:rsidR="00D434EC" w:rsidRPr="00D434EC">
              <w:rPr>
                <w:rFonts w:ascii="標楷體" w:eastAsia="標楷體" w:hAnsi="標楷體"/>
                <w:color w:val="000000"/>
              </w:rPr>
              <w:t>追認</w:t>
            </w:r>
            <w:r w:rsidR="009A018F">
              <w:rPr>
                <w:rFonts w:ascii="標楷體" w:eastAsia="標楷體" w:hAnsi="標楷體" w:hint="eastAsia"/>
                <w:color w:val="000000"/>
              </w:rPr>
              <w:t>，</w:t>
            </w:r>
            <w:proofErr w:type="gramStart"/>
            <w:r w:rsidRPr="007D5F6E">
              <w:rPr>
                <w:rFonts w:ascii="標楷體" w:eastAsia="標楷體" w:hAnsi="標楷體" w:hint="eastAsia"/>
                <w:color w:val="000000"/>
              </w:rPr>
              <w:t>爰</w:t>
            </w:r>
            <w:proofErr w:type="gramEnd"/>
            <w:r w:rsidRPr="007D5F6E">
              <w:rPr>
                <w:rFonts w:ascii="標楷體" w:eastAsia="標楷體" w:hAnsi="標楷體" w:hint="eastAsia"/>
                <w:color w:val="000000"/>
              </w:rPr>
              <w:t>修正第</w:t>
            </w:r>
            <w:r w:rsidR="009A018F">
              <w:rPr>
                <w:rFonts w:ascii="標楷體" w:eastAsia="標楷體" w:hAnsi="標楷體" w:hint="eastAsia"/>
                <w:color w:val="000000"/>
              </w:rPr>
              <w:t>三</w:t>
            </w:r>
            <w:r w:rsidRPr="007D5F6E">
              <w:rPr>
                <w:rFonts w:ascii="標楷體" w:eastAsia="標楷體" w:hAnsi="標楷體" w:hint="eastAsia"/>
                <w:color w:val="000000"/>
              </w:rPr>
              <w:t>項。</w:t>
            </w:r>
          </w:p>
          <w:p w:rsidR="00C00C1F" w:rsidRDefault="00C80E5E">
            <w:pPr>
              <w:pStyle w:val="HTML"/>
              <w:numPr>
                <w:ilvl w:val="0"/>
                <w:numId w:val="4"/>
              </w:numPr>
              <w:rPr>
                <w:rFonts w:ascii="標楷體" w:eastAsia="標楷體" w:hAnsi="標楷體"/>
                <w:color w:val="000000"/>
              </w:rPr>
            </w:pPr>
            <w:r>
              <w:rPr>
                <w:rFonts w:ascii="標楷體" w:eastAsia="標楷體" w:hAnsi="標楷體" w:hint="eastAsia"/>
                <w:color w:val="000000"/>
              </w:rPr>
              <w:t>調整條文體例用語。</w:t>
            </w:r>
          </w:p>
        </w:tc>
      </w:tr>
    </w:tbl>
    <w:p w:rsidR="004116CF" w:rsidRPr="002310F6" w:rsidRDefault="004116CF">
      <w:pPr>
        <w:rPr>
          <w:rFonts w:ascii="標楷體" w:eastAsia="標楷體" w:hAnsi="標楷體"/>
        </w:rPr>
      </w:pPr>
    </w:p>
    <w:sectPr w:rsidR="004116CF" w:rsidRPr="002310F6" w:rsidSect="006B298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19" w:rsidRDefault="001C3619" w:rsidP="004116CF">
      <w:r>
        <w:separator/>
      </w:r>
    </w:p>
  </w:endnote>
  <w:endnote w:type="continuationSeparator" w:id="0">
    <w:p w:rsidR="001C3619" w:rsidRDefault="001C3619" w:rsidP="004116C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465"/>
      <w:docPartObj>
        <w:docPartGallery w:val="Page Numbers (Bottom of Page)"/>
        <w:docPartUnique/>
      </w:docPartObj>
    </w:sdtPr>
    <w:sdtContent>
      <w:p w:rsidR="00226DDF" w:rsidRDefault="008F2C75">
        <w:pPr>
          <w:pStyle w:val="a5"/>
          <w:jc w:val="center"/>
        </w:pPr>
        <w:r>
          <w:fldChar w:fldCharType="begin"/>
        </w:r>
        <w:r w:rsidR="00226DDF">
          <w:instrText xml:space="preserve"> PAGE   \* MERGEFORMAT </w:instrText>
        </w:r>
        <w:r>
          <w:fldChar w:fldCharType="separate"/>
        </w:r>
        <w:r w:rsidR="00733EE2" w:rsidRPr="00733EE2">
          <w:rPr>
            <w:noProof/>
            <w:lang w:val="zh-TW"/>
          </w:rPr>
          <w:t>1</w:t>
        </w:r>
        <w:r>
          <w:fldChar w:fldCharType="end"/>
        </w:r>
      </w:p>
    </w:sdtContent>
  </w:sdt>
  <w:p w:rsidR="00226DDF" w:rsidRDefault="00226D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19" w:rsidRDefault="001C3619" w:rsidP="004116CF">
      <w:r>
        <w:separator/>
      </w:r>
    </w:p>
  </w:footnote>
  <w:footnote w:type="continuationSeparator" w:id="0">
    <w:p w:rsidR="001C3619" w:rsidRDefault="001C3619" w:rsidP="00411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26A"/>
    <w:multiLevelType w:val="hybridMultilevel"/>
    <w:tmpl w:val="D7323A70"/>
    <w:lvl w:ilvl="0" w:tplc="6944B26E">
      <w:start w:val="1"/>
      <w:numFmt w:val="taiwaneseCountingThousand"/>
      <w:lvlText w:val="%1、"/>
      <w:lvlJc w:val="left"/>
      <w:pPr>
        <w:ind w:left="691" w:hanging="360"/>
      </w:pPr>
      <w:rPr>
        <w:rFonts w:ascii="標楷體" w:eastAsia="標楷體" w:hAnsi="標楷體" w:hint="default"/>
        <w:color w:val="000000"/>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
    <w:nsid w:val="164505A2"/>
    <w:multiLevelType w:val="hybridMultilevel"/>
    <w:tmpl w:val="70B67D52"/>
    <w:lvl w:ilvl="0" w:tplc="1D5240C0">
      <w:start w:val="1"/>
      <w:numFmt w:val="taiwaneseCountingThousand"/>
      <w:lvlText w:val="%1、"/>
      <w:lvlJc w:val="left"/>
      <w:pPr>
        <w:ind w:left="691" w:hanging="36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2">
    <w:nsid w:val="609916F3"/>
    <w:multiLevelType w:val="hybridMultilevel"/>
    <w:tmpl w:val="1F8491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873F60"/>
    <w:multiLevelType w:val="hybridMultilevel"/>
    <w:tmpl w:val="476EB7C2"/>
    <w:lvl w:ilvl="0" w:tplc="5F4A1AEC">
      <w:start w:val="1"/>
      <w:numFmt w:val="taiwaneseCountingThousand"/>
      <w:lvlText w:val="%1、"/>
      <w:lvlJc w:val="left"/>
      <w:pPr>
        <w:ind w:left="691" w:hanging="360"/>
      </w:pPr>
      <w:rPr>
        <w:rFonts w:hint="default"/>
        <w:u w:val="none"/>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6CF"/>
    <w:rsid w:val="00001C35"/>
    <w:rsid w:val="0000542B"/>
    <w:rsid w:val="000349F9"/>
    <w:rsid w:val="00046FC8"/>
    <w:rsid w:val="00071AC6"/>
    <w:rsid w:val="00074C1F"/>
    <w:rsid w:val="00086B51"/>
    <w:rsid w:val="000A0AF4"/>
    <w:rsid w:val="000B057A"/>
    <w:rsid w:val="000B05B5"/>
    <w:rsid w:val="000B276A"/>
    <w:rsid w:val="000B2BF7"/>
    <w:rsid w:val="0011118C"/>
    <w:rsid w:val="0011262E"/>
    <w:rsid w:val="00115A6D"/>
    <w:rsid w:val="0016085E"/>
    <w:rsid w:val="00176BE2"/>
    <w:rsid w:val="001A31CE"/>
    <w:rsid w:val="001C3619"/>
    <w:rsid w:val="001D55F5"/>
    <w:rsid w:val="001F6FFB"/>
    <w:rsid w:val="00226DDF"/>
    <w:rsid w:val="002310F6"/>
    <w:rsid w:val="002423F8"/>
    <w:rsid w:val="00246459"/>
    <w:rsid w:val="002574F3"/>
    <w:rsid w:val="002B219B"/>
    <w:rsid w:val="002B7A0D"/>
    <w:rsid w:val="002C305D"/>
    <w:rsid w:val="002C6400"/>
    <w:rsid w:val="002D1ECB"/>
    <w:rsid w:val="002E17BE"/>
    <w:rsid w:val="002E6868"/>
    <w:rsid w:val="002F1A83"/>
    <w:rsid w:val="002F57A9"/>
    <w:rsid w:val="002F5E38"/>
    <w:rsid w:val="002F6D94"/>
    <w:rsid w:val="00300E9B"/>
    <w:rsid w:val="00316C91"/>
    <w:rsid w:val="00343408"/>
    <w:rsid w:val="003501F3"/>
    <w:rsid w:val="00372EC3"/>
    <w:rsid w:val="003730D0"/>
    <w:rsid w:val="003D5DFB"/>
    <w:rsid w:val="003D7251"/>
    <w:rsid w:val="003E797A"/>
    <w:rsid w:val="003F1ECA"/>
    <w:rsid w:val="00403C63"/>
    <w:rsid w:val="004116CF"/>
    <w:rsid w:val="0042793A"/>
    <w:rsid w:val="00433A41"/>
    <w:rsid w:val="00434285"/>
    <w:rsid w:val="00465123"/>
    <w:rsid w:val="00465FD1"/>
    <w:rsid w:val="00477EC6"/>
    <w:rsid w:val="004B2A21"/>
    <w:rsid w:val="004C2B76"/>
    <w:rsid w:val="005363D5"/>
    <w:rsid w:val="00586DA6"/>
    <w:rsid w:val="005A2837"/>
    <w:rsid w:val="005D31CB"/>
    <w:rsid w:val="006175FA"/>
    <w:rsid w:val="00620FEE"/>
    <w:rsid w:val="006763E6"/>
    <w:rsid w:val="00681B07"/>
    <w:rsid w:val="00682010"/>
    <w:rsid w:val="006A4F28"/>
    <w:rsid w:val="006B2980"/>
    <w:rsid w:val="006B6C12"/>
    <w:rsid w:val="006D3E49"/>
    <w:rsid w:val="006D44E8"/>
    <w:rsid w:val="0070702D"/>
    <w:rsid w:val="00733EE2"/>
    <w:rsid w:val="007440AB"/>
    <w:rsid w:val="0077768A"/>
    <w:rsid w:val="007839AE"/>
    <w:rsid w:val="007A3E14"/>
    <w:rsid w:val="007D5F6E"/>
    <w:rsid w:val="00800751"/>
    <w:rsid w:val="00806AC3"/>
    <w:rsid w:val="00825322"/>
    <w:rsid w:val="0085394A"/>
    <w:rsid w:val="00861A7C"/>
    <w:rsid w:val="00887C8F"/>
    <w:rsid w:val="008A1D71"/>
    <w:rsid w:val="008B2DAC"/>
    <w:rsid w:val="008D3117"/>
    <w:rsid w:val="008D722E"/>
    <w:rsid w:val="008E5EF5"/>
    <w:rsid w:val="008F2C75"/>
    <w:rsid w:val="00954C12"/>
    <w:rsid w:val="00982691"/>
    <w:rsid w:val="009A018F"/>
    <w:rsid w:val="00A3300C"/>
    <w:rsid w:val="00A361C3"/>
    <w:rsid w:val="00A90AE1"/>
    <w:rsid w:val="00AE0BC3"/>
    <w:rsid w:val="00AE33B2"/>
    <w:rsid w:val="00AE3CD4"/>
    <w:rsid w:val="00B46B2E"/>
    <w:rsid w:val="00B83B45"/>
    <w:rsid w:val="00B96133"/>
    <w:rsid w:val="00BA10D4"/>
    <w:rsid w:val="00BC57C1"/>
    <w:rsid w:val="00BD23F1"/>
    <w:rsid w:val="00BD63A2"/>
    <w:rsid w:val="00BF2C7A"/>
    <w:rsid w:val="00BF5561"/>
    <w:rsid w:val="00C00C1F"/>
    <w:rsid w:val="00C11762"/>
    <w:rsid w:val="00C457E7"/>
    <w:rsid w:val="00C51E40"/>
    <w:rsid w:val="00C72627"/>
    <w:rsid w:val="00C72C23"/>
    <w:rsid w:val="00C8075F"/>
    <w:rsid w:val="00C80E5E"/>
    <w:rsid w:val="00CB06FB"/>
    <w:rsid w:val="00CC773D"/>
    <w:rsid w:val="00CD51B8"/>
    <w:rsid w:val="00D16DF4"/>
    <w:rsid w:val="00D213A2"/>
    <w:rsid w:val="00D42C0B"/>
    <w:rsid w:val="00D434EC"/>
    <w:rsid w:val="00D56E9F"/>
    <w:rsid w:val="00D66245"/>
    <w:rsid w:val="00D70502"/>
    <w:rsid w:val="00D73201"/>
    <w:rsid w:val="00D87883"/>
    <w:rsid w:val="00D93055"/>
    <w:rsid w:val="00DA2A13"/>
    <w:rsid w:val="00DA4EB8"/>
    <w:rsid w:val="00DC7B60"/>
    <w:rsid w:val="00DD7314"/>
    <w:rsid w:val="00DE6F17"/>
    <w:rsid w:val="00DF6B7D"/>
    <w:rsid w:val="00DF76F6"/>
    <w:rsid w:val="00DF7CA9"/>
    <w:rsid w:val="00E04F9B"/>
    <w:rsid w:val="00E41EB4"/>
    <w:rsid w:val="00E45C94"/>
    <w:rsid w:val="00E516D6"/>
    <w:rsid w:val="00EA044A"/>
    <w:rsid w:val="00EB5A6A"/>
    <w:rsid w:val="00EC7A97"/>
    <w:rsid w:val="00F15C52"/>
    <w:rsid w:val="00F21E6A"/>
    <w:rsid w:val="00F2301B"/>
    <w:rsid w:val="00F33EDA"/>
    <w:rsid w:val="00F643D3"/>
    <w:rsid w:val="00F73C0A"/>
    <w:rsid w:val="00F84A26"/>
    <w:rsid w:val="00F93BE2"/>
    <w:rsid w:val="00FA1211"/>
    <w:rsid w:val="00FC0436"/>
    <w:rsid w:val="00FD3B18"/>
    <w:rsid w:val="00FD5E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16CF"/>
    <w:pPr>
      <w:tabs>
        <w:tab w:val="center" w:pos="4153"/>
        <w:tab w:val="right" w:pos="8306"/>
      </w:tabs>
      <w:snapToGrid w:val="0"/>
    </w:pPr>
    <w:rPr>
      <w:sz w:val="20"/>
      <w:szCs w:val="20"/>
    </w:rPr>
  </w:style>
  <w:style w:type="character" w:customStyle="1" w:styleId="a4">
    <w:name w:val="頁首 字元"/>
    <w:basedOn w:val="a0"/>
    <w:link w:val="a3"/>
    <w:uiPriority w:val="99"/>
    <w:semiHidden/>
    <w:rsid w:val="004116CF"/>
    <w:rPr>
      <w:sz w:val="20"/>
      <w:szCs w:val="20"/>
    </w:rPr>
  </w:style>
  <w:style w:type="paragraph" w:styleId="a5">
    <w:name w:val="footer"/>
    <w:basedOn w:val="a"/>
    <w:link w:val="a6"/>
    <w:uiPriority w:val="99"/>
    <w:unhideWhenUsed/>
    <w:rsid w:val="004116CF"/>
    <w:pPr>
      <w:tabs>
        <w:tab w:val="center" w:pos="4153"/>
        <w:tab w:val="right" w:pos="8306"/>
      </w:tabs>
      <w:snapToGrid w:val="0"/>
    </w:pPr>
    <w:rPr>
      <w:sz w:val="20"/>
      <w:szCs w:val="20"/>
    </w:rPr>
  </w:style>
  <w:style w:type="character" w:customStyle="1" w:styleId="a6">
    <w:name w:val="頁尾 字元"/>
    <w:basedOn w:val="a0"/>
    <w:link w:val="a5"/>
    <w:uiPriority w:val="99"/>
    <w:rsid w:val="004116CF"/>
    <w:rPr>
      <w:sz w:val="20"/>
      <w:szCs w:val="20"/>
    </w:rPr>
  </w:style>
  <w:style w:type="table" w:styleId="a7">
    <w:name w:val="Table Grid"/>
    <w:basedOn w:val="a1"/>
    <w:uiPriority w:val="59"/>
    <w:rsid w:val="00411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411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4116CF"/>
    <w:rPr>
      <w:rFonts w:ascii="細明體" w:eastAsia="細明體" w:hAnsi="細明體" w:cs="細明體"/>
      <w:color w:val="333333"/>
      <w:kern w:val="0"/>
      <w:szCs w:val="24"/>
    </w:rPr>
  </w:style>
  <w:style w:type="paragraph" w:styleId="a8">
    <w:name w:val="List Paragraph"/>
    <w:basedOn w:val="a"/>
    <w:uiPriority w:val="34"/>
    <w:qFormat/>
    <w:rsid w:val="00086B51"/>
    <w:pPr>
      <w:ind w:leftChars="200" w:left="480"/>
    </w:pPr>
  </w:style>
  <w:style w:type="paragraph" w:styleId="a9">
    <w:name w:val="Plain Text"/>
    <w:basedOn w:val="a"/>
    <w:link w:val="aa"/>
    <w:uiPriority w:val="99"/>
    <w:unhideWhenUsed/>
    <w:rsid w:val="00071AC6"/>
    <w:rPr>
      <w:rFonts w:hAnsi="Courier New" w:cs="Courier New"/>
      <w:szCs w:val="24"/>
    </w:rPr>
  </w:style>
  <w:style w:type="character" w:customStyle="1" w:styleId="aa">
    <w:name w:val="純文字 字元"/>
    <w:basedOn w:val="a0"/>
    <w:link w:val="a9"/>
    <w:uiPriority w:val="99"/>
    <w:rsid w:val="00071AC6"/>
    <w:rPr>
      <w:rFonts w:ascii="Calibri" w:eastAsia="新細明體" w:hAnsi="Courier New" w:cs="Courier New"/>
      <w:szCs w:val="24"/>
    </w:rPr>
  </w:style>
  <w:style w:type="paragraph" w:styleId="ab">
    <w:name w:val="Balloon Text"/>
    <w:basedOn w:val="a"/>
    <w:link w:val="ac"/>
    <w:uiPriority w:val="99"/>
    <w:semiHidden/>
    <w:unhideWhenUsed/>
    <w:rsid w:val="00C80E5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0E5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3914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Company>TWSE</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0675</dc:creator>
  <cp:lastModifiedBy>0440</cp:lastModifiedBy>
  <cp:revision>3</cp:revision>
  <cp:lastPrinted>2014-08-12T02:47:00Z</cp:lastPrinted>
  <dcterms:created xsi:type="dcterms:W3CDTF">2014-10-14T05:55:00Z</dcterms:created>
  <dcterms:modified xsi:type="dcterms:W3CDTF">2014-10-14T05:59:00Z</dcterms:modified>
</cp:coreProperties>
</file>