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42" w:rsidRDefault="00C457E7" w:rsidP="003E5542">
      <w:pPr>
        <w:widowControl/>
        <w:adjustRightInd w:val="0"/>
        <w:snapToGrid w:val="0"/>
        <w:spacing w:after="1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63765">
        <w:rPr>
          <w:rFonts w:ascii="標楷體" w:eastAsia="標楷體" w:hAnsi="標楷體"/>
          <w:color w:val="000000"/>
          <w:sz w:val="32"/>
          <w:szCs w:val="32"/>
        </w:rPr>
        <w:t>臺灣證券交易所股份有限公司</w:t>
      </w:r>
      <w:r w:rsidR="00394F35" w:rsidRPr="00394F35">
        <w:rPr>
          <w:rFonts w:ascii="標楷體" w:eastAsia="標楷體" w:hAnsi="標楷體" w:hint="eastAsia"/>
          <w:color w:val="000000"/>
          <w:sz w:val="32"/>
          <w:szCs w:val="32"/>
        </w:rPr>
        <w:t>證券商專案檢查與輔導辦法</w:t>
      </w:r>
    </w:p>
    <w:p w:rsidR="006B2980" w:rsidRPr="00F2301B" w:rsidRDefault="00FF1530" w:rsidP="003E5542">
      <w:pPr>
        <w:widowControl/>
        <w:adjustRightInd w:val="0"/>
        <w:snapToGrid w:val="0"/>
        <w:spacing w:after="12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第一條</w:t>
      </w:r>
      <w:r w:rsidR="00D3159C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B057A" w:rsidRPr="00F2301B">
        <w:rPr>
          <w:rFonts w:ascii="標楷體" w:eastAsia="標楷體" w:hAnsi="標楷體"/>
          <w:color w:val="000000"/>
          <w:sz w:val="32"/>
          <w:szCs w:val="32"/>
        </w:rPr>
        <w:t>第</w:t>
      </w:r>
      <w:r w:rsidR="00394F35">
        <w:rPr>
          <w:rFonts w:ascii="標楷體" w:eastAsia="標楷體" w:hAnsi="標楷體" w:hint="eastAsia"/>
          <w:color w:val="000000"/>
          <w:sz w:val="32"/>
          <w:szCs w:val="32"/>
        </w:rPr>
        <w:t>十二</w:t>
      </w:r>
      <w:r w:rsidR="000B057A" w:rsidRPr="00F2301B">
        <w:rPr>
          <w:rFonts w:ascii="標楷體" w:eastAsia="標楷體" w:hAnsi="標楷體"/>
          <w:color w:val="000000"/>
          <w:sz w:val="32"/>
          <w:szCs w:val="32"/>
        </w:rPr>
        <w:t>條</w:t>
      </w:r>
      <w:r w:rsidR="00D3159C">
        <w:rPr>
          <w:rFonts w:ascii="標楷體" w:eastAsia="標楷體" w:hAnsi="標楷體" w:hint="eastAsia"/>
          <w:color w:val="000000"/>
          <w:sz w:val="32"/>
          <w:szCs w:val="32"/>
        </w:rPr>
        <w:t>、第十三條</w:t>
      </w:r>
      <w:r w:rsidR="000B057A" w:rsidRPr="00F2301B">
        <w:rPr>
          <w:rFonts w:ascii="標楷體" w:eastAsia="標楷體" w:hAnsi="標楷體" w:hint="eastAsia"/>
          <w:color w:val="000000"/>
          <w:sz w:val="32"/>
          <w:szCs w:val="32"/>
        </w:rPr>
        <w:t>修正條文對照表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7"/>
        <w:gridCol w:w="2787"/>
        <w:gridCol w:w="2788"/>
      </w:tblGrid>
      <w:tr w:rsidR="004116CF" w:rsidRPr="002310F6" w:rsidTr="00DC7B60">
        <w:tc>
          <w:tcPr>
            <w:tcW w:w="2787" w:type="dxa"/>
          </w:tcPr>
          <w:p w:rsidR="004116CF" w:rsidRPr="002310F6" w:rsidRDefault="004116CF" w:rsidP="003E55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2310F6">
              <w:rPr>
                <w:rFonts w:ascii="標楷體" w:eastAsia="標楷體" w:hAnsi="標楷體"/>
              </w:rPr>
              <w:t>修正條文</w:t>
            </w:r>
          </w:p>
        </w:tc>
        <w:tc>
          <w:tcPr>
            <w:tcW w:w="2787" w:type="dxa"/>
          </w:tcPr>
          <w:p w:rsidR="004116CF" w:rsidRPr="002310F6" w:rsidRDefault="004116CF" w:rsidP="003E55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2310F6">
              <w:rPr>
                <w:rFonts w:ascii="標楷體" w:eastAsia="標楷體" w:hAnsi="標楷體"/>
              </w:rPr>
              <w:t>現行條文</w:t>
            </w:r>
          </w:p>
        </w:tc>
        <w:tc>
          <w:tcPr>
            <w:tcW w:w="2788" w:type="dxa"/>
          </w:tcPr>
          <w:p w:rsidR="004116CF" w:rsidRPr="002310F6" w:rsidRDefault="004116CF" w:rsidP="003E55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2310F6">
              <w:rPr>
                <w:rFonts w:ascii="標楷體" w:eastAsia="標楷體" w:hAnsi="標楷體"/>
              </w:rPr>
              <w:t>說明</w:t>
            </w:r>
          </w:p>
        </w:tc>
      </w:tr>
      <w:tr w:rsidR="0042219B" w:rsidRPr="002310F6" w:rsidTr="00DC7B60">
        <w:tc>
          <w:tcPr>
            <w:tcW w:w="2787" w:type="dxa"/>
          </w:tcPr>
          <w:p w:rsidR="00711BA8" w:rsidRDefault="004221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</w:t>
            </w:r>
          </w:p>
          <w:p w:rsidR="00711BA8" w:rsidRDefault="004221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本辦法依證券交易所管理規則第</w:t>
            </w:r>
            <w:r w:rsidR="007E7422" w:rsidRPr="007E742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二十</w:t>
            </w:r>
            <w: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三條第</w:t>
            </w:r>
            <w:r w:rsidR="007E7422" w:rsidRPr="007E742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項</w:t>
            </w:r>
            <w:r w:rsidR="007E7422" w:rsidRPr="007E742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、第四項</w:t>
            </w:r>
            <w:r w:rsidRPr="0042219B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規定訂定之。</w:t>
            </w:r>
          </w:p>
        </w:tc>
        <w:tc>
          <w:tcPr>
            <w:tcW w:w="2787" w:type="dxa"/>
          </w:tcPr>
          <w:p w:rsidR="00711BA8" w:rsidRDefault="004221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</w:t>
            </w:r>
          </w:p>
          <w:p w:rsidR="00711BA8" w:rsidRDefault="007E74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7E742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本辦法依證券交易所管理</w:t>
            </w:r>
            <w:proofErr w:type="gramStart"/>
            <w:r w:rsidRPr="007E742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規則第廿三條</w:t>
            </w:r>
            <w:proofErr w:type="gramEnd"/>
            <w:r w:rsidRPr="007E742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第二項</w:t>
            </w:r>
            <w:r w:rsidRPr="007E7422">
              <w:rPr>
                <w:rFonts w:ascii="標楷體" w:eastAsia="標楷體" w:hAnsi="標楷體" w:cs="細明體"/>
                <w:color w:val="000000"/>
                <w:kern w:val="0"/>
                <w:szCs w:val="24"/>
                <w:u w:val="single"/>
              </w:rPr>
              <w:t>之</w:t>
            </w:r>
            <w:r w:rsidRPr="007E742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規定訂定之。</w:t>
            </w:r>
          </w:p>
          <w:p w:rsidR="00711BA8" w:rsidRDefault="00711B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711BA8" w:rsidRDefault="00D3159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本辦法係</w:t>
            </w:r>
            <w:r w:rsidR="002766E8">
              <w:rPr>
                <w:rFonts w:ascii="標楷體" w:eastAsia="標楷體" w:hAnsi="標楷體" w:hint="eastAsia"/>
              </w:rPr>
              <w:t>依證券交易所管理規則第二十三條第二項及</w:t>
            </w:r>
            <w:r>
              <w:rPr>
                <w:rFonts w:ascii="標楷體" w:eastAsia="標楷體" w:hAnsi="標楷體" w:hint="eastAsia"/>
              </w:rPr>
              <w:t>第四項授權訂定，為明確法源依據，爰</w:t>
            </w:r>
            <w:r w:rsidR="000B72E2"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t>之</w:t>
            </w:r>
            <w:r w:rsidR="0042219B">
              <w:rPr>
                <w:rFonts w:ascii="標楷體" w:eastAsia="標楷體" w:hAnsi="標楷體" w:hint="eastAsia"/>
              </w:rPr>
              <w:t>。</w:t>
            </w:r>
          </w:p>
        </w:tc>
      </w:tr>
      <w:tr w:rsidR="004116CF" w:rsidRPr="002310F6" w:rsidTr="0005004D">
        <w:trPr>
          <w:trHeight w:val="3407"/>
        </w:trPr>
        <w:tc>
          <w:tcPr>
            <w:tcW w:w="2787" w:type="dxa"/>
          </w:tcPr>
          <w:p w:rsidR="0011262E" w:rsidRPr="002310F6" w:rsidRDefault="0011262E" w:rsidP="003E55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310F6">
              <w:rPr>
                <w:rFonts w:ascii="標楷體" w:eastAsia="標楷體" w:hAnsi="標楷體" w:cs="細明體"/>
                <w:kern w:val="0"/>
                <w:szCs w:val="24"/>
              </w:rPr>
              <w:t>第</w:t>
            </w:r>
            <w:r w:rsidR="00394F35">
              <w:rPr>
                <w:rFonts w:ascii="標楷體" w:eastAsia="標楷體" w:hAnsi="標楷體" w:cs="細明體" w:hint="eastAsia"/>
                <w:kern w:val="0"/>
                <w:szCs w:val="24"/>
              </w:rPr>
              <w:t>十二</w:t>
            </w:r>
            <w:r w:rsidRPr="002310F6">
              <w:rPr>
                <w:rFonts w:ascii="標楷體" w:eastAsia="標楷體" w:hAnsi="標楷體" w:cs="細明體"/>
                <w:kern w:val="0"/>
                <w:szCs w:val="24"/>
              </w:rPr>
              <w:t>條</w:t>
            </w:r>
          </w:p>
          <w:p w:rsidR="009B1684" w:rsidRDefault="00394F35" w:rsidP="00E34744">
            <w:pPr>
              <w:pStyle w:val="HTML"/>
              <w:jc w:val="both"/>
              <w:rPr>
                <w:rFonts w:ascii="標楷體" w:eastAsia="標楷體" w:hAnsi="標楷體"/>
              </w:rPr>
            </w:pPr>
            <w:r w:rsidRPr="00394F35">
              <w:rPr>
                <w:rFonts w:ascii="標楷體" w:eastAsia="標楷體" w:hAnsi="標楷體"/>
                <w:color w:val="000000"/>
              </w:rPr>
              <w:t>證券商及其負責人或受</w:t>
            </w:r>
            <w:proofErr w:type="gramStart"/>
            <w:r w:rsidRPr="00394F35">
              <w:rPr>
                <w:rFonts w:ascii="標楷體" w:eastAsia="標楷體" w:hAnsi="標楷體"/>
                <w:color w:val="000000"/>
              </w:rPr>
              <w:t>僱</w:t>
            </w:r>
            <w:proofErr w:type="gramEnd"/>
            <w:r w:rsidRPr="00394F35">
              <w:rPr>
                <w:rFonts w:ascii="標楷體" w:eastAsia="標楷體" w:hAnsi="標楷體"/>
                <w:color w:val="000000"/>
              </w:rPr>
              <w:t>人違反本辦法之規定者，本公司得視情節依</w:t>
            </w:r>
            <w:r w:rsidR="007E7422" w:rsidRPr="007E7422">
              <w:rPr>
                <w:rFonts w:ascii="標楷體" w:eastAsia="標楷體" w:hAnsi="標楷體" w:hint="eastAsia"/>
                <w:color w:val="000000"/>
                <w:u w:val="single"/>
              </w:rPr>
              <w:t>本公司</w:t>
            </w:r>
            <w:r w:rsidRPr="00394F35">
              <w:rPr>
                <w:rFonts w:ascii="標楷體" w:eastAsia="標楷體" w:hAnsi="標楷體"/>
                <w:color w:val="000000"/>
              </w:rPr>
              <w:t>營業細則、供給使用有價證券集中交易市場契約及</w:t>
            </w:r>
            <w:r w:rsidR="007E7422" w:rsidRPr="007E7422">
              <w:rPr>
                <w:rFonts w:ascii="標楷體" w:eastAsia="標楷體" w:hAnsi="標楷體" w:hint="eastAsia"/>
                <w:color w:val="000000"/>
                <w:u w:val="single"/>
              </w:rPr>
              <w:t>其他</w:t>
            </w:r>
            <w:r w:rsidR="007E7422" w:rsidRPr="007E7422">
              <w:rPr>
                <w:rFonts w:ascii="標楷體" w:eastAsia="標楷體" w:hAnsi="標楷體"/>
                <w:color w:val="000000"/>
                <w:u w:val="single"/>
              </w:rPr>
              <w:t>有關</w:t>
            </w:r>
            <w:r w:rsidR="007E7422" w:rsidRPr="007E7422">
              <w:rPr>
                <w:rFonts w:ascii="標楷體" w:eastAsia="標楷體" w:hAnsi="標楷體" w:hint="eastAsia"/>
                <w:color w:val="000000"/>
                <w:u w:val="single"/>
              </w:rPr>
              <w:t>章則</w:t>
            </w:r>
            <w:r w:rsidRPr="00394F35">
              <w:rPr>
                <w:rFonts w:ascii="標楷體" w:eastAsia="標楷體" w:hAnsi="標楷體"/>
                <w:color w:val="000000"/>
              </w:rPr>
              <w:t>處理。</w:t>
            </w:r>
          </w:p>
        </w:tc>
        <w:tc>
          <w:tcPr>
            <w:tcW w:w="2787" w:type="dxa"/>
          </w:tcPr>
          <w:p w:rsidR="0011262E" w:rsidRPr="00394F35" w:rsidRDefault="0011262E" w:rsidP="003E55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94F3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第</w:t>
            </w:r>
            <w:r w:rsidR="00394F35" w:rsidRPr="00394F3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十二</w:t>
            </w:r>
            <w:r w:rsidRPr="00394F3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條</w:t>
            </w:r>
          </w:p>
          <w:p w:rsidR="00DA2A13" w:rsidRPr="00394F35" w:rsidRDefault="00394F35" w:rsidP="00394F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94F3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證券商及其負責人或受</w:t>
            </w:r>
            <w:proofErr w:type="gramStart"/>
            <w:r w:rsidRPr="00394F3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僱</w:t>
            </w:r>
            <w:proofErr w:type="gramEnd"/>
            <w:r w:rsidRPr="00394F3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人違反本辦法之規定者，本公司得視</w:t>
            </w:r>
            <w:r w:rsidR="007E7422" w:rsidRPr="007E7422">
              <w:rPr>
                <w:rFonts w:ascii="標楷體" w:eastAsia="標楷體" w:hAnsi="標楷體" w:cs="細明體"/>
                <w:color w:val="000000"/>
                <w:kern w:val="0"/>
                <w:szCs w:val="24"/>
                <w:u w:val="single"/>
              </w:rPr>
              <w:t>其</w:t>
            </w:r>
            <w:r w:rsidRPr="00394F3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情節依</w:t>
            </w:r>
            <w:r w:rsidRPr="00394F35">
              <w:rPr>
                <w:rFonts w:ascii="標楷體" w:eastAsia="標楷體" w:hAnsi="標楷體" w:cs="細明體"/>
                <w:color w:val="000000"/>
                <w:kern w:val="0"/>
                <w:szCs w:val="24"/>
                <w:u w:val="single"/>
              </w:rPr>
              <w:t>章程、</w:t>
            </w:r>
            <w:r w:rsidRPr="00394F3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營業細則、供給使用有價證券集中交易市場契約及有關規定處理。</w:t>
            </w:r>
          </w:p>
        </w:tc>
        <w:tc>
          <w:tcPr>
            <w:tcW w:w="2788" w:type="dxa"/>
          </w:tcPr>
          <w:p w:rsidR="007E7422" w:rsidRDefault="007E7422" w:rsidP="007E7422">
            <w:pPr>
              <w:pStyle w:val="HTML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color w:val="auto"/>
              </w:rPr>
            </w:pPr>
            <w:r w:rsidRPr="007E7422">
              <w:rPr>
                <w:rFonts w:ascii="標楷體" w:eastAsia="標楷體" w:hAnsi="標楷體" w:hint="eastAsia"/>
                <w:color w:val="auto"/>
              </w:rPr>
              <w:t>本公司章程已刪除第七章本公司集中交易市場之證券商</w:t>
            </w:r>
            <w:r w:rsidRPr="007E7422">
              <w:rPr>
                <w:rFonts w:ascii="標楷體" w:eastAsia="標楷體" w:hAnsi="標楷體"/>
                <w:color w:val="auto"/>
              </w:rPr>
              <w:t>(第三十一條至三十八條)</w:t>
            </w:r>
            <w:r w:rsidRPr="007E7422">
              <w:rPr>
                <w:rFonts w:ascii="標楷體" w:eastAsia="標楷體" w:hAnsi="標楷體" w:hint="eastAsia"/>
                <w:color w:val="auto"/>
              </w:rPr>
              <w:t>規定，</w:t>
            </w:r>
            <w:proofErr w:type="gramStart"/>
            <w:r w:rsidRPr="007E7422">
              <w:rPr>
                <w:rFonts w:ascii="標楷體" w:eastAsia="標楷體" w:hAnsi="標楷體" w:hint="eastAsia"/>
                <w:color w:val="auto"/>
              </w:rPr>
              <w:t>爰</w:t>
            </w:r>
            <w:proofErr w:type="gramEnd"/>
            <w:r w:rsidRPr="007E7422">
              <w:rPr>
                <w:rFonts w:ascii="標楷體" w:eastAsia="標楷體" w:hAnsi="標楷體" w:hint="eastAsia"/>
                <w:color w:val="auto"/>
              </w:rPr>
              <w:t>配合修正。</w:t>
            </w:r>
          </w:p>
          <w:p w:rsidR="007E7422" w:rsidRPr="007E7422" w:rsidRDefault="00885089" w:rsidP="007E7422">
            <w:pPr>
              <w:pStyle w:val="HTML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證券商受僱人係依證券商內部控制制度等章則規範，為求周延，爰修正條文用語。</w:t>
            </w:r>
          </w:p>
        </w:tc>
      </w:tr>
      <w:tr w:rsidR="0005004D" w:rsidRPr="002310F6" w:rsidTr="004E2BBD">
        <w:trPr>
          <w:trHeight w:val="1981"/>
        </w:trPr>
        <w:tc>
          <w:tcPr>
            <w:tcW w:w="2787" w:type="dxa"/>
          </w:tcPr>
          <w:p w:rsidR="0005004D" w:rsidRDefault="0005004D" w:rsidP="003E55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第十三條</w:t>
            </w:r>
          </w:p>
          <w:p w:rsidR="0005004D" w:rsidRPr="0005004D" w:rsidRDefault="0005004D" w:rsidP="007F4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05004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本辦法經本公司會同證券商業同業公會擬訂，報奉主管機關核備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後</w:t>
            </w:r>
            <w:r w:rsidRPr="0005004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公告</w:t>
            </w:r>
            <w:r w:rsidR="007E7422" w:rsidRPr="007E742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實</w:t>
            </w:r>
            <w:r w:rsidR="007E7422" w:rsidRPr="007E7422">
              <w:rPr>
                <w:rFonts w:ascii="標楷體" w:eastAsia="標楷體" w:hAnsi="標楷體" w:cs="細明體"/>
                <w:color w:val="000000"/>
                <w:kern w:val="0"/>
                <w:szCs w:val="24"/>
                <w:u w:val="single"/>
              </w:rPr>
              <w:t>施</w:t>
            </w:r>
            <w:r w:rsidR="007E7422" w:rsidRPr="007E7422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>，</w:t>
            </w:r>
            <w:r w:rsidRPr="0005004D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修正時亦同。</w:t>
            </w:r>
          </w:p>
        </w:tc>
        <w:tc>
          <w:tcPr>
            <w:tcW w:w="2787" w:type="dxa"/>
          </w:tcPr>
          <w:p w:rsidR="0005004D" w:rsidRDefault="0005004D" w:rsidP="003E55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第十三條</w:t>
            </w:r>
          </w:p>
          <w:p w:rsidR="00711BA8" w:rsidRDefault="007E74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7E742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本辦法經本公司會同證券商業同業公會擬訂，報奉主管機關核備，自公告日施行；</w:t>
            </w:r>
            <w:r w:rsidRPr="007E7422">
              <w:rPr>
                <w:rFonts w:ascii="標楷體" w:eastAsia="標楷體" w:hAnsi="標楷體" w:cs="細明體"/>
                <w:color w:val="000000"/>
                <w:kern w:val="0"/>
                <w:szCs w:val="24"/>
                <w:u w:val="single"/>
              </w:rPr>
              <w:t>其</w:t>
            </w:r>
            <w:r w:rsidRPr="007E7422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修正時亦同。</w:t>
            </w:r>
          </w:p>
          <w:p w:rsidR="0005004D" w:rsidRPr="0005004D" w:rsidRDefault="0005004D" w:rsidP="003E55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</w:tc>
        <w:tc>
          <w:tcPr>
            <w:tcW w:w="2788" w:type="dxa"/>
          </w:tcPr>
          <w:p w:rsidR="0005004D" w:rsidRPr="00871B49" w:rsidRDefault="007E7422" w:rsidP="000B28C6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  <w:r w:rsidRPr="007E7422">
              <w:rPr>
                <w:rFonts w:ascii="標楷體" w:eastAsia="標楷體" w:hAnsi="標楷體" w:hint="eastAsia"/>
                <w:color w:val="auto"/>
              </w:rPr>
              <w:t>調整條文體例用語。</w:t>
            </w:r>
          </w:p>
        </w:tc>
      </w:tr>
    </w:tbl>
    <w:p w:rsidR="004116CF" w:rsidRPr="002310F6" w:rsidRDefault="004116CF">
      <w:pPr>
        <w:rPr>
          <w:rFonts w:ascii="標楷體" w:eastAsia="標楷體" w:hAnsi="標楷體"/>
        </w:rPr>
      </w:pPr>
    </w:p>
    <w:sectPr w:rsidR="004116CF" w:rsidRPr="002310F6" w:rsidSect="006B29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E2" w:rsidRDefault="00D821E2" w:rsidP="004116CF">
      <w:r>
        <w:separator/>
      </w:r>
    </w:p>
  </w:endnote>
  <w:endnote w:type="continuationSeparator" w:id="0">
    <w:p w:rsidR="00D821E2" w:rsidRDefault="00D821E2" w:rsidP="0041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467"/>
      <w:docPartObj>
        <w:docPartGallery w:val="Page Numbers (Bottom of Page)"/>
        <w:docPartUnique/>
      </w:docPartObj>
    </w:sdtPr>
    <w:sdtContent>
      <w:p w:rsidR="003407FB" w:rsidRDefault="004F5A02">
        <w:pPr>
          <w:pStyle w:val="a5"/>
          <w:jc w:val="center"/>
        </w:pPr>
        <w:r>
          <w:fldChar w:fldCharType="begin"/>
        </w:r>
        <w:r w:rsidR="003407FB">
          <w:instrText xml:space="preserve"> PAGE   \* MERGEFORMAT </w:instrText>
        </w:r>
        <w:r>
          <w:fldChar w:fldCharType="separate"/>
        </w:r>
        <w:r w:rsidR="00452E67" w:rsidRPr="00452E67">
          <w:rPr>
            <w:noProof/>
            <w:lang w:val="zh-TW"/>
          </w:rPr>
          <w:t>1</w:t>
        </w:r>
        <w:r>
          <w:fldChar w:fldCharType="end"/>
        </w:r>
      </w:p>
    </w:sdtContent>
  </w:sdt>
  <w:p w:rsidR="003407FB" w:rsidRDefault="003407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E2" w:rsidRDefault="00D821E2" w:rsidP="004116CF">
      <w:r>
        <w:separator/>
      </w:r>
    </w:p>
  </w:footnote>
  <w:footnote w:type="continuationSeparator" w:id="0">
    <w:p w:rsidR="00D821E2" w:rsidRDefault="00D821E2" w:rsidP="00411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26A"/>
    <w:multiLevelType w:val="hybridMultilevel"/>
    <w:tmpl w:val="D7323A70"/>
    <w:lvl w:ilvl="0" w:tplc="6944B26E">
      <w:start w:val="1"/>
      <w:numFmt w:val="taiwaneseCountingThousand"/>
      <w:lvlText w:val="%1、"/>
      <w:lvlJc w:val="left"/>
      <w:pPr>
        <w:ind w:left="691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">
    <w:nsid w:val="164505A2"/>
    <w:multiLevelType w:val="hybridMultilevel"/>
    <w:tmpl w:val="70B67D52"/>
    <w:lvl w:ilvl="0" w:tplc="1D5240C0">
      <w:start w:val="1"/>
      <w:numFmt w:val="taiwaneseCountingThousand"/>
      <w:lvlText w:val="%1、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2">
    <w:nsid w:val="3A382EAF"/>
    <w:multiLevelType w:val="hybridMultilevel"/>
    <w:tmpl w:val="4E6839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873F60"/>
    <w:multiLevelType w:val="hybridMultilevel"/>
    <w:tmpl w:val="476EB7C2"/>
    <w:lvl w:ilvl="0" w:tplc="5F4A1AEC">
      <w:start w:val="1"/>
      <w:numFmt w:val="taiwaneseCountingThousand"/>
      <w:lvlText w:val="%1、"/>
      <w:lvlJc w:val="left"/>
      <w:pPr>
        <w:ind w:left="69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6CF"/>
    <w:rsid w:val="00001C35"/>
    <w:rsid w:val="0000542B"/>
    <w:rsid w:val="000349F9"/>
    <w:rsid w:val="00046FC8"/>
    <w:rsid w:val="0005004D"/>
    <w:rsid w:val="00071AC6"/>
    <w:rsid w:val="00074C1F"/>
    <w:rsid w:val="0007606D"/>
    <w:rsid w:val="00086B51"/>
    <w:rsid w:val="000B057A"/>
    <w:rsid w:val="000B05B5"/>
    <w:rsid w:val="000B276A"/>
    <w:rsid w:val="000B28C6"/>
    <w:rsid w:val="000B72E2"/>
    <w:rsid w:val="0011118C"/>
    <w:rsid w:val="0011262E"/>
    <w:rsid w:val="0016085E"/>
    <w:rsid w:val="001703EA"/>
    <w:rsid w:val="00176BE2"/>
    <w:rsid w:val="001A31CE"/>
    <w:rsid w:val="001D55F5"/>
    <w:rsid w:val="00207911"/>
    <w:rsid w:val="002310F6"/>
    <w:rsid w:val="002423F8"/>
    <w:rsid w:val="00242F16"/>
    <w:rsid w:val="00246459"/>
    <w:rsid w:val="002574F3"/>
    <w:rsid w:val="00260BCF"/>
    <w:rsid w:val="002766E8"/>
    <w:rsid w:val="00280B6F"/>
    <w:rsid w:val="002A428D"/>
    <w:rsid w:val="002B219B"/>
    <w:rsid w:val="002B7A0D"/>
    <w:rsid w:val="002C305D"/>
    <w:rsid w:val="002C6400"/>
    <w:rsid w:val="002D1ECB"/>
    <w:rsid w:val="002E6868"/>
    <w:rsid w:val="002F0986"/>
    <w:rsid w:val="002F1A83"/>
    <w:rsid w:val="002F57A9"/>
    <w:rsid w:val="002F5E38"/>
    <w:rsid w:val="002F6D94"/>
    <w:rsid w:val="00316C91"/>
    <w:rsid w:val="003407FB"/>
    <w:rsid w:val="00343408"/>
    <w:rsid w:val="003501F3"/>
    <w:rsid w:val="00372EC3"/>
    <w:rsid w:val="003730D0"/>
    <w:rsid w:val="0038524A"/>
    <w:rsid w:val="00394F35"/>
    <w:rsid w:val="003C28B5"/>
    <w:rsid w:val="003D5DFB"/>
    <w:rsid w:val="003D7251"/>
    <w:rsid w:val="003E5542"/>
    <w:rsid w:val="003E797A"/>
    <w:rsid w:val="003F1ECA"/>
    <w:rsid w:val="00403C63"/>
    <w:rsid w:val="004116CF"/>
    <w:rsid w:val="00415A89"/>
    <w:rsid w:val="0042219B"/>
    <w:rsid w:val="0042793A"/>
    <w:rsid w:val="00427C45"/>
    <w:rsid w:val="00434285"/>
    <w:rsid w:val="00452E67"/>
    <w:rsid w:val="00460D0F"/>
    <w:rsid w:val="00465123"/>
    <w:rsid w:val="00465FD1"/>
    <w:rsid w:val="00477EC6"/>
    <w:rsid w:val="004B2A21"/>
    <w:rsid w:val="004C2B76"/>
    <w:rsid w:val="004E2BBD"/>
    <w:rsid w:val="004F5A02"/>
    <w:rsid w:val="005A2837"/>
    <w:rsid w:val="005A5977"/>
    <w:rsid w:val="005D31CB"/>
    <w:rsid w:val="005E13B0"/>
    <w:rsid w:val="00612CFE"/>
    <w:rsid w:val="006175FA"/>
    <w:rsid w:val="00620FEE"/>
    <w:rsid w:val="00681B07"/>
    <w:rsid w:val="006A4F28"/>
    <w:rsid w:val="006B2980"/>
    <w:rsid w:val="006B6C12"/>
    <w:rsid w:val="006D199C"/>
    <w:rsid w:val="006D3E49"/>
    <w:rsid w:val="0070702D"/>
    <w:rsid w:val="00711BA8"/>
    <w:rsid w:val="00723867"/>
    <w:rsid w:val="007839AE"/>
    <w:rsid w:val="007A3E14"/>
    <w:rsid w:val="007B3A04"/>
    <w:rsid w:val="007D5F6E"/>
    <w:rsid w:val="007E7422"/>
    <w:rsid w:val="007F42E4"/>
    <w:rsid w:val="00800751"/>
    <w:rsid w:val="00806AC3"/>
    <w:rsid w:val="00825322"/>
    <w:rsid w:val="0085394A"/>
    <w:rsid w:val="00871B49"/>
    <w:rsid w:val="00872389"/>
    <w:rsid w:val="00885089"/>
    <w:rsid w:val="00887C8F"/>
    <w:rsid w:val="008A1D71"/>
    <w:rsid w:val="008B2DAC"/>
    <w:rsid w:val="008D3117"/>
    <w:rsid w:val="008D722E"/>
    <w:rsid w:val="008E5EF5"/>
    <w:rsid w:val="00954C12"/>
    <w:rsid w:val="00982691"/>
    <w:rsid w:val="009A018F"/>
    <w:rsid w:val="009A3194"/>
    <w:rsid w:val="009B1684"/>
    <w:rsid w:val="009B2171"/>
    <w:rsid w:val="009F0E84"/>
    <w:rsid w:val="00A3300C"/>
    <w:rsid w:val="00A67EBD"/>
    <w:rsid w:val="00A90AE1"/>
    <w:rsid w:val="00AE0BC3"/>
    <w:rsid w:val="00AE33B2"/>
    <w:rsid w:val="00AE3CD4"/>
    <w:rsid w:val="00B83B45"/>
    <w:rsid w:val="00B96133"/>
    <w:rsid w:val="00BA10D4"/>
    <w:rsid w:val="00BC57C1"/>
    <w:rsid w:val="00BD23F1"/>
    <w:rsid w:val="00BD63A2"/>
    <w:rsid w:val="00BF2C7A"/>
    <w:rsid w:val="00BF5561"/>
    <w:rsid w:val="00C11762"/>
    <w:rsid w:val="00C457E7"/>
    <w:rsid w:val="00C51E40"/>
    <w:rsid w:val="00C72627"/>
    <w:rsid w:val="00C72C23"/>
    <w:rsid w:val="00CB06FB"/>
    <w:rsid w:val="00CC773D"/>
    <w:rsid w:val="00CD51B8"/>
    <w:rsid w:val="00D16DF4"/>
    <w:rsid w:val="00D213A2"/>
    <w:rsid w:val="00D24835"/>
    <w:rsid w:val="00D3159C"/>
    <w:rsid w:val="00D434EC"/>
    <w:rsid w:val="00D66245"/>
    <w:rsid w:val="00D70502"/>
    <w:rsid w:val="00D73201"/>
    <w:rsid w:val="00D821E2"/>
    <w:rsid w:val="00D87883"/>
    <w:rsid w:val="00D93055"/>
    <w:rsid w:val="00DA2A13"/>
    <w:rsid w:val="00DC7B60"/>
    <w:rsid w:val="00DE6F17"/>
    <w:rsid w:val="00DF6B7D"/>
    <w:rsid w:val="00DF76F6"/>
    <w:rsid w:val="00DF7CA9"/>
    <w:rsid w:val="00E27DCD"/>
    <w:rsid w:val="00E34744"/>
    <w:rsid w:val="00E41EB4"/>
    <w:rsid w:val="00E516D6"/>
    <w:rsid w:val="00EA044A"/>
    <w:rsid w:val="00EF3F97"/>
    <w:rsid w:val="00EF738F"/>
    <w:rsid w:val="00F0463B"/>
    <w:rsid w:val="00F15C52"/>
    <w:rsid w:val="00F21E6A"/>
    <w:rsid w:val="00F2301B"/>
    <w:rsid w:val="00F33EDA"/>
    <w:rsid w:val="00F537DE"/>
    <w:rsid w:val="00F643D3"/>
    <w:rsid w:val="00F73C0A"/>
    <w:rsid w:val="00F84A26"/>
    <w:rsid w:val="00F93BE2"/>
    <w:rsid w:val="00FC0436"/>
    <w:rsid w:val="00FD3B18"/>
    <w:rsid w:val="00FD5EC9"/>
    <w:rsid w:val="00F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1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6CF"/>
    <w:rPr>
      <w:sz w:val="20"/>
      <w:szCs w:val="20"/>
    </w:rPr>
  </w:style>
  <w:style w:type="table" w:styleId="a7">
    <w:name w:val="Table Grid"/>
    <w:basedOn w:val="a1"/>
    <w:uiPriority w:val="59"/>
    <w:rsid w:val="00411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11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116CF"/>
    <w:rPr>
      <w:rFonts w:ascii="細明體" w:eastAsia="細明體" w:hAnsi="細明體" w:cs="細明體"/>
      <w:color w:val="333333"/>
      <w:kern w:val="0"/>
      <w:szCs w:val="24"/>
    </w:rPr>
  </w:style>
  <w:style w:type="paragraph" w:styleId="a8">
    <w:name w:val="List Paragraph"/>
    <w:basedOn w:val="a"/>
    <w:uiPriority w:val="34"/>
    <w:qFormat/>
    <w:rsid w:val="00086B51"/>
    <w:pPr>
      <w:ind w:leftChars="200" w:left="480"/>
    </w:pPr>
  </w:style>
  <w:style w:type="paragraph" w:styleId="a9">
    <w:name w:val="Plain Text"/>
    <w:basedOn w:val="a"/>
    <w:link w:val="aa"/>
    <w:uiPriority w:val="99"/>
    <w:unhideWhenUsed/>
    <w:rsid w:val="00071AC6"/>
    <w:rPr>
      <w:rFonts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071AC6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2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2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1703-FCF3-4D63-AA5B-097E5D3B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TWSE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0675</dc:creator>
  <cp:lastModifiedBy>0440</cp:lastModifiedBy>
  <cp:revision>4</cp:revision>
  <cp:lastPrinted>2014-08-07T03:49:00Z</cp:lastPrinted>
  <dcterms:created xsi:type="dcterms:W3CDTF">2014-10-14T05:51:00Z</dcterms:created>
  <dcterms:modified xsi:type="dcterms:W3CDTF">2014-10-14T06:01:00Z</dcterms:modified>
</cp:coreProperties>
</file>