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80" w:rsidRPr="003D1041" w:rsidRDefault="000B057A" w:rsidP="00AC76D4">
      <w:pPr>
        <w:widowControl/>
        <w:adjustRightInd w:val="0"/>
        <w:snapToGrid w:val="0"/>
        <w:spacing w:after="120" w:line="500" w:lineRule="exact"/>
        <w:jc w:val="center"/>
        <w:rPr>
          <w:rFonts w:ascii="標楷體" w:eastAsia="標楷體" w:hAnsi="標楷體"/>
          <w:color w:val="000000"/>
          <w:spacing w:val="-40"/>
          <w:kern w:val="0"/>
          <w:sz w:val="32"/>
          <w:szCs w:val="32"/>
        </w:rPr>
      </w:pPr>
      <w:r w:rsidRPr="003D1041">
        <w:rPr>
          <w:rFonts w:ascii="標楷體" w:eastAsia="標楷體" w:hAnsi="標楷體"/>
          <w:color w:val="000000"/>
          <w:sz w:val="32"/>
          <w:szCs w:val="32"/>
        </w:rPr>
        <w:t>臺灣證券交易所股份有限公司</w:t>
      </w:r>
      <w:r w:rsidR="003A130E" w:rsidRPr="003D1041">
        <w:rPr>
          <w:rFonts w:ascii="標楷體" w:eastAsia="標楷體" w:hAnsi="標楷體"/>
          <w:color w:val="000000"/>
          <w:sz w:val="32"/>
          <w:szCs w:val="32"/>
        </w:rPr>
        <w:t>證券商規避、拒絕檢查之認定標準及處理程序</w:t>
      </w:r>
      <w:r w:rsidRPr="003D1041">
        <w:rPr>
          <w:rFonts w:ascii="標楷體" w:eastAsia="標楷體" w:hAnsi="標楷體" w:hint="eastAsia"/>
          <w:color w:val="000000"/>
          <w:sz w:val="32"/>
          <w:szCs w:val="32"/>
        </w:rPr>
        <w:t>修正條文對照表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7"/>
        <w:gridCol w:w="2787"/>
        <w:gridCol w:w="2788"/>
      </w:tblGrid>
      <w:tr w:rsidR="004116CF" w:rsidRPr="003D1041" w:rsidTr="006202E0">
        <w:trPr>
          <w:tblHeader/>
        </w:trPr>
        <w:tc>
          <w:tcPr>
            <w:tcW w:w="2787" w:type="dxa"/>
          </w:tcPr>
          <w:p w:rsidR="00551203" w:rsidRDefault="004116CF" w:rsidP="00551203">
            <w:pPr>
              <w:adjustRightInd w:val="0"/>
              <w:snapToGrid w:val="0"/>
              <w:jc w:val="center"/>
              <w:rPr>
                <w:rFonts w:ascii="標楷體" w:eastAsia="標楷體" w:hAnsi="標楷體"/>
                <w:bCs/>
                <w:color w:val="000000"/>
              </w:rPr>
            </w:pPr>
            <w:r w:rsidRPr="003D1041">
              <w:rPr>
                <w:rFonts w:ascii="標楷體" w:eastAsia="標楷體" w:hAnsi="標楷體"/>
                <w:color w:val="000000"/>
              </w:rPr>
              <w:t>修正條文</w:t>
            </w:r>
          </w:p>
        </w:tc>
        <w:tc>
          <w:tcPr>
            <w:tcW w:w="2787" w:type="dxa"/>
          </w:tcPr>
          <w:p w:rsidR="00551203" w:rsidRDefault="004116CF" w:rsidP="00551203">
            <w:pPr>
              <w:adjustRightInd w:val="0"/>
              <w:snapToGrid w:val="0"/>
              <w:jc w:val="center"/>
              <w:rPr>
                <w:rFonts w:ascii="標楷體" w:eastAsia="標楷體" w:hAnsi="標楷體"/>
                <w:bCs/>
                <w:color w:val="000000"/>
              </w:rPr>
            </w:pPr>
            <w:r w:rsidRPr="003D1041">
              <w:rPr>
                <w:rFonts w:ascii="標楷體" w:eastAsia="標楷體" w:hAnsi="標楷體"/>
                <w:color w:val="000000"/>
              </w:rPr>
              <w:t>現行條文</w:t>
            </w:r>
          </w:p>
        </w:tc>
        <w:tc>
          <w:tcPr>
            <w:tcW w:w="2788" w:type="dxa"/>
          </w:tcPr>
          <w:p w:rsidR="00551203" w:rsidRDefault="004116CF" w:rsidP="00551203">
            <w:pPr>
              <w:adjustRightInd w:val="0"/>
              <w:snapToGrid w:val="0"/>
              <w:jc w:val="center"/>
              <w:rPr>
                <w:rFonts w:ascii="標楷體" w:eastAsia="標楷體" w:hAnsi="標楷體"/>
                <w:bCs/>
                <w:color w:val="000000"/>
              </w:rPr>
            </w:pPr>
            <w:r w:rsidRPr="003D1041">
              <w:rPr>
                <w:rFonts w:ascii="標楷體" w:eastAsia="標楷體" w:hAnsi="標楷體"/>
                <w:color w:val="000000"/>
              </w:rPr>
              <w:t>說明</w:t>
            </w:r>
          </w:p>
        </w:tc>
      </w:tr>
      <w:tr w:rsidR="004A5911" w:rsidRPr="003D1041" w:rsidTr="00DC7B60">
        <w:tc>
          <w:tcPr>
            <w:tcW w:w="2787" w:type="dxa"/>
          </w:tcPr>
          <w:p w:rsidR="00E17ECC" w:rsidRDefault="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551203">
              <w:rPr>
                <w:rFonts w:ascii="標楷體" w:eastAsia="標楷體" w:hAnsi="標楷體" w:hint="eastAsia"/>
                <w:u w:val="single"/>
              </w:rPr>
              <w:t>第</w:t>
            </w:r>
            <w:r w:rsidRPr="00551203">
              <w:rPr>
                <w:rFonts w:ascii="標楷體" w:eastAsia="標楷體" w:hAnsi="標楷體" w:hint="eastAsia"/>
              </w:rPr>
              <w:t>一</w:t>
            </w:r>
            <w:r w:rsidRPr="00551203">
              <w:rPr>
                <w:rFonts w:ascii="標楷體" w:eastAsia="標楷體" w:hAnsi="標楷體" w:hint="eastAsia"/>
                <w:u w:val="single"/>
              </w:rPr>
              <w:t>條</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551203">
              <w:rPr>
                <w:rFonts w:ascii="標楷體" w:eastAsia="標楷體" w:hAnsi="標楷體" w:hint="eastAsia"/>
                <w:u w:val="single"/>
              </w:rPr>
              <w:t>本認定標準及處理程序依本公司營業細則第二十五條第三項規定訂定之</w:t>
            </w:r>
            <w:r w:rsidR="00797E96" w:rsidRPr="00EB3EDF">
              <w:rPr>
                <w:rFonts w:ascii="標楷體" w:eastAsia="標楷體" w:hAnsi="標楷體" w:hint="eastAsia"/>
              </w:rPr>
              <w:t>。</w:t>
            </w:r>
          </w:p>
        </w:tc>
        <w:tc>
          <w:tcPr>
            <w:tcW w:w="2787" w:type="dxa"/>
          </w:tcPr>
          <w:p w:rsidR="00E17ECC" w:rsidRDefault="006B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一、</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551203">
              <w:rPr>
                <w:rFonts w:ascii="標楷體" w:eastAsia="標楷體" w:hAnsi="標楷體" w:hint="eastAsia"/>
              </w:rPr>
              <w:t>據本公司營業細則第二十五條規定，證券商不得規避或拒絕檢查，為推定責任歸屬，特訂定本認定標準及處理程序。</w:t>
            </w:r>
          </w:p>
        </w:tc>
        <w:tc>
          <w:tcPr>
            <w:tcW w:w="2788" w:type="dxa"/>
          </w:tcPr>
          <w:p w:rsidR="00551203" w:rsidRDefault="00551203" w:rsidP="00551203">
            <w:pPr>
              <w:pStyle w:val="a8"/>
              <w:numPr>
                <w:ilvl w:val="0"/>
                <w:numId w:val="11"/>
              </w:numPr>
              <w:adjustRightInd w:val="0"/>
              <w:snapToGrid w:val="0"/>
              <w:spacing w:line="360" w:lineRule="exact"/>
              <w:ind w:leftChars="0"/>
              <w:rPr>
                <w:rFonts w:ascii="標楷體" w:eastAsia="標楷體" w:hAnsi="標楷體"/>
                <w:color w:val="000000"/>
              </w:rPr>
            </w:pPr>
            <w:r w:rsidRPr="00551203">
              <w:rPr>
                <w:rFonts w:ascii="標楷體" w:eastAsia="標楷體" w:hAnsi="標楷體" w:hint="eastAsia"/>
                <w:color w:val="000000"/>
              </w:rPr>
              <w:t>調整規章條次體例。</w:t>
            </w:r>
          </w:p>
          <w:p w:rsidR="00551203" w:rsidRPr="00551203" w:rsidRDefault="00C3509E" w:rsidP="00551203">
            <w:pPr>
              <w:pStyle w:val="a8"/>
              <w:numPr>
                <w:ilvl w:val="0"/>
                <w:numId w:val="11"/>
              </w:numPr>
              <w:adjustRightInd w:val="0"/>
              <w:snapToGrid w:val="0"/>
              <w:spacing w:line="360" w:lineRule="exact"/>
              <w:ind w:leftChars="0"/>
              <w:rPr>
                <w:rFonts w:ascii="標楷體" w:eastAsia="標楷體" w:hAnsi="標楷體"/>
                <w:color w:val="000000"/>
              </w:rPr>
            </w:pPr>
            <w:r>
              <w:rPr>
                <w:rFonts w:ascii="標楷體" w:eastAsia="標楷體" w:hAnsi="標楷體" w:hint="eastAsia"/>
                <w:color w:val="000000"/>
              </w:rPr>
              <w:t>配合本公司營業細則第二十五條增訂第三項法源依據，</w:t>
            </w:r>
            <w:proofErr w:type="gramStart"/>
            <w:r>
              <w:rPr>
                <w:rFonts w:ascii="標楷體" w:eastAsia="標楷體" w:hAnsi="標楷體" w:hint="eastAsia"/>
                <w:color w:val="000000"/>
              </w:rPr>
              <w:t>爰</w:t>
            </w:r>
            <w:proofErr w:type="gramEnd"/>
            <w:r>
              <w:rPr>
                <w:rFonts w:ascii="標楷體" w:eastAsia="標楷體" w:hAnsi="標楷體" w:hint="eastAsia"/>
                <w:color w:val="000000"/>
              </w:rPr>
              <w:t>修正之。</w:t>
            </w:r>
          </w:p>
        </w:tc>
      </w:tr>
      <w:tr w:rsidR="004A5911" w:rsidRPr="006B3D64" w:rsidTr="00DC7B60">
        <w:tc>
          <w:tcPr>
            <w:tcW w:w="2787" w:type="dxa"/>
          </w:tcPr>
          <w:p w:rsidR="00E17ECC" w:rsidRDefault="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u w:val="single"/>
              </w:rPr>
            </w:pPr>
            <w:r w:rsidRPr="00551203">
              <w:rPr>
                <w:rFonts w:ascii="標楷體" w:eastAsia="標楷體" w:hAnsi="標楷體" w:hint="eastAsia"/>
                <w:u w:val="single"/>
              </w:rPr>
              <w:t>第</w:t>
            </w:r>
            <w:r w:rsidRPr="00551203">
              <w:rPr>
                <w:rFonts w:ascii="標楷體" w:eastAsia="標楷體" w:hAnsi="標楷體" w:hint="eastAsia"/>
              </w:rPr>
              <w:t>二</w:t>
            </w:r>
            <w:r w:rsidRPr="00551203">
              <w:rPr>
                <w:rFonts w:ascii="標楷體" w:eastAsia="標楷體" w:hAnsi="標楷體" w:hint="eastAsia"/>
                <w:u w:val="single"/>
              </w:rPr>
              <w:t>條</w:t>
            </w:r>
          </w:p>
          <w:p w:rsidR="00E17ECC" w:rsidRDefault="00D07C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sidRPr="00076757">
              <w:rPr>
                <w:rFonts w:ascii="標楷體" w:eastAsia="標楷體" w:hAnsi="標楷體" w:hint="eastAsia"/>
              </w:rPr>
              <w:t>本公司得於營業日上午八時至下</w:t>
            </w:r>
            <w:r w:rsidR="00431246">
              <w:rPr>
                <w:rFonts w:ascii="標楷體" w:eastAsia="標楷體" w:hAnsi="標楷體" w:hint="eastAsia"/>
              </w:rPr>
              <w:t>午五時，派員檢查或查詢證券商所用帳簿及有關交易憑證、單據、表冊</w:t>
            </w:r>
            <w:r w:rsidR="00551203" w:rsidRPr="00551203">
              <w:rPr>
                <w:rFonts w:ascii="標楷體" w:eastAsia="標楷體" w:hAnsi="標楷體" w:hint="eastAsia"/>
              </w:rPr>
              <w:t>、</w:t>
            </w:r>
            <w:r w:rsidRPr="00076757">
              <w:rPr>
                <w:rFonts w:ascii="標楷體" w:eastAsia="標楷體" w:hAnsi="標楷體" w:hint="eastAsia"/>
              </w:rPr>
              <w:t>契約等</w:t>
            </w:r>
            <w:r w:rsidR="00551203" w:rsidRPr="00551203">
              <w:rPr>
                <w:rFonts w:ascii="標楷體" w:eastAsia="標楷體" w:hAnsi="標楷體" w:hint="eastAsia"/>
                <w:u w:val="single"/>
              </w:rPr>
              <w:t>資料</w:t>
            </w:r>
            <w:r w:rsidRPr="00076757">
              <w:rPr>
                <w:rFonts w:ascii="標楷體" w:eastAsia="標楷體" w:hAnsi="標楷體" w:hint="eastAsia"/>
              </w:rPr>
              <w:t>，但因檢查之需要得繼續延展之。</w:t>
            </w:r>
          </w:p>
        </w:tc>
        <w:tc>
          <w:tcPr>
            <w:tcW w:w="2787" w:type="dxa"/>
          </w:tcPr>
          <w:p w:rsidR="00E17ECC" w:rsidRDefault="006B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二、</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551203">
              <w:rPr>
                <w:rFonts w:ascii="標楷體" w:eastAsia="標楷體" w:hAnsi="標楷體" w:hint="eastAsia"/>
              </w:rPr>
              <w:t>本公司得於營業日上午八時至下午五時，派員檢查或查詢證券商所用帳簿及有關交易憑證、單據、表冊、契約及</w:t>
            </w:r>
            <w:r w:rsidRPr="00551203">
              <w:rPr>
                <w:rFonts w:ascii="標楷體" w:eastAsia="標楷體" w:hAnsi="標楷體" w:hint="eastAsia"/>
                <w:u w:val="single"/>
              </w:rPr>
              <w:t>「證券經紀商財務業務稽核作業要點」所列物件</w:t>
            </w:r>
            <w:r w:rsidRPr="00551203">
              <w:rPr>
                <w:rFonts w:ascii="標楷體" w:eastAsia="標楷體" w:hAnsi="標楷體" w:hint="eastAsia"/>
              </w:rPr>
              <w:t>等，但因檢查之需要得繼續延展之。</w:t>
            </w:r>
          </w:p>
        </w:tc>
        <w:tc>
          <w:tcPr>
            <w:tcW w:w="2788" w:type="dxa"/>
          </w:tcPr>
          <w:p w:rsidR="00551203" w:rsidRDefault="006B3D64" w:rsidP="00551203">
            <w:pPr>
              <w:pStyle w:val="a8"/>
              <w:numPr>
                <w:ilvl w:val="0"/>
                <w:numId w:val="5"/>
              </w:numPr>
              <w:adjustRightInd w:val="0"/>
              <w:snapToGrid w:val="0"/>
              <w:spacing w:line="360" w:lineRule="exact"/>
              <w:ind w:leftChars="0" w:left="482" w:hanging="482"/>
              <w:rPr>
                <w:rFonts w:ascii="標楷體" w:eastAsia="標楷體" w:hAnsi="標楷體"/>
                <w:color w:val="000000"/>
              </w:rPr>
            </w:pPr>
            <w:r>
              <w:rPr>
                <w:rFonts w:ascii="標楷體" w:eastAsia="標楷體" w:hAnsi="標楷體" w:hint="eastAsia"/>
                <w:color w:val="000000"/>
              </w:rPr>
              <w:t>調整規章條次體例。</w:t>
            </w:r>
          </w:p>
          <w:p w:rsidR="00551203" w:rsidRPr="00551203" w:rsidRDefault="006B3D64" w:rsidP="00551203">
            <w:pPr>
              <w:pStyle w:val="a8"/>
              <w:numPr>
                <w:ilvl w:val="0"/>
                <w:numId w:val="5"/>
              </w:numPr>
              <w:adjustRightInd w:val="0"/>
              <w:snapToGrid w:val="0"/>
              <w:spacing w:line="360" w:lineRule="exact"/>
              <w:ind w:leftChars="0" w:left="482" w:hanging="482"/>
              <w:rPr>
                <w:rFonts w:ascii="標楷體" w:eastAsia="標楷體" w:hAnsi="標楷體"/>
                <w:color w:val="000000"/>
              </w:rPr>
            </w:pPr>
            <w:r>
              <w:rPr>
                <w:rFonts w:ascii="標楷體" w:eastAsia="標楷體" w:hAnsi="標楷體" w:hint="eastAsia"/>
              </w:rPr>
              <w:t>本公司「</w:t>
            </w:r>
            <w:r w:rsidRPr="00EB3EDF">
              <w:rPr>
                <w:rFonts w:ascii="標楷體" w:eastAsia="標楷體" w:hAnsi="標楷體" w:hint="eastAsia"/>
              </w:rPr>
              <w:t>證券經紀商財務業務稽核作業要點</w:t>
            </w:r>
            <w:r>
              <w:rPr>
                <w:rFonts w:ascii="標楷體" w:eastAsia="標楷體" w:hAnsi="標楷體" w:hint="eastAsia"/>
              </w:rPr>
              <w:t>」</w:t>
            </w:r>
            <w:r w:rsidR="00431246">
              <w:rPr>
                <w:rFonts w:ascii="標楷體" w:eastAsia="標楷體" w:hAnsi="標楷體" w:hint="eastAsia"/>
              </w:rPr>
              <w:t>已廢止，</w:t>
            </w:r>
            <w:proofErr w:type="gramStart"/>
            <w:r w:rsidR="00431246">
              <w:rPr>
                <w:rFonts w:ascii="標楷體" w:eastAsia="標楷體" w:hAnsi="標楷體" w:hint="eastAsia"/>
              </w:rPr>
              <w:t>爰</w:t>
            </w:r>
            <w:proofErr w:type="gramEnd"/>
            <w:r>
              <w:rPr>
                <w:rFonts w:ascii="標楷體" w:eastAsia="標楷體" w:hAnsi="標楷體" w:hint="eastAsia"/>
              </w:rPr>
              <w:t>修正</w:t>
            </w:r>
            <w:r w:rsidR="00431246">
              <w:rPr>
                <w:rFonts w:ascii="標楷體" w:eastAsia="標楷體" w:hAnsi="標楷體" w:hint="eastAsia"/>
              </w:rPr>
              <w:t>之</w:t>
            </w:r>
            <w:r>
              <w:rPr>
                <w:rFonts w:ascii="標楷體" w:eastAsia="標楷體" w:hAnsi="標楷體" w:hint="eastAsia"/>
              </w:rPr>
              <w:t>。</w:t>
            </w:r>
          </w:p>
        </w:tc>
      </w:tr>
      <w:tr w:rsidR="004A5911" w:rsidRPr="003D1041" w:rsidTr="00DC7B60">
        <w:tc>
          <w:tcPr>
            <w:tcW w:w="2787" w:type="dxa"/>
          </w:tcPr>
          <w:p w:rsidR="00551203" w:rsidRDefault="00551203" w:rsidP="00551203">
            <w:pPr>
              <w:adjustRightInd w:val="0"/>
              <w:snapToGrid w:val="0"/>
              <w:rPr>
                <w:rFonts w:ascii="標楷體" w:eastAsia="標楷體" w:hAnsi="標楷體"/>
                <w:color w:val="000000"/>
              </w:rPr>
            </w:pPr>
            <w:r w:rsidRPr="00551203">
              <w:rPr>
                <w:rFonts w:ascii="標楷體" w:eastAsia="標楷體" w:hAnsi="標楷體"/>
                <w:color w:val="000000"/>
              </w:rPr>
              <w:t>(刪除)</w:t>
            </w:r>
          </w:p>
        </w:tc>
        <w:tc>
          <w:tcPr>
            <w:tcW w:w="2787" w:type="dxa"/>
          </w:tcPr>
          <w:p w:rsidR="00E17ECC" w:rsidRDefault="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u w:val="single"/>
              </w:rPr>
            </w:pPr>
            <w:r w:rsidRPr="00551203">
              <w:rPr>
                <w:rFonts w:ascii="標楷體" w:eastAsia="標楷體" w:hAnsi="標楷體" w:hint="eastAsia"/>
                <w:u w:val="single"/>
              </w:rPr>
              <w:t>三、</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551203">
              <w:rPr>
                <w:rFonts w:ascii="標楷體" w:eastAsia="標楷體" w:hAnsi="標楷體" w:hint="eastAsia"/>
                <w:u w:val="single"/>
              </w:rPr>
              <w:t>證券商當日應付客戶之股票於當日上午八時以後始</w:t>
            </w:r>
            <w:proofErr w:type="gramStart"/>
            <w:r w:rsidRPr="00551203">
              <w:rPr>
                <w:rFonts w:ascii="標楷體" w:eastAsia="標楷體" w:hAnsi="標楷體" w:hint="eastAsia"/>
                <w:u w:val="single"/>
              </w:rPr>
              <w:t>得開庫發放</w:t>
            </w:r>
            <w:proofErr w:type="gramEnd"/>
            <w:r w:rsidRPr="00551203">
              <w:rPr>
                <w:rFonts w:ascii="標楷體" w:eastAsia="標楷體" w:hAnsi="標楷體" w:hint="eastAsia"/>
                <w:u w:val="single"/>
              </w:rPr>
              <w:t>。</w:t>
            </w:r>
          </w:p>
        </w:tc>
        <w:tc>
          <w:tcPr>
            <w:tcW w:w="2788" w:type="dxa"/>
          </w:tcPr>
          <w:p w:rsidR="00551203" w:rsidRDefault="00FA586D" w:rsidP="00302426">
            <w:pPr>
              <w:adjustRightInd w:val="0"/>
              <w:snapToGrid w:val="0"/>
              <w:spacing w:afterLines="50" w:line="360" w:lineRule="exact"/>
              <w:rPr>
                <w:rFonts w:ascii="標楷體" w:eastAsia="標楷體" w:hAnsi="標楷體"/>
                <w:color w:val="000000"/>
              </w:rPr>
              <w:pPrChange w:id="0" w:author="0440" w:date="2014-10-14T14:01:00Z">
                <w:pPr>
                  <w:adjustRightInd w:val="0"/>
                  <w:snapToGrid w:val="0"/>
                  <w:spacing w:afterLines="50" w:line="360" w:lineRule="exact"/>
                </w:pPr>
              </w:pPrChange>
            </w:pPr>
            <w:r>
              <w:rPr>
                <w:rFonts w:ascii="標楷體" w:eastAsia="標楷體" w:hAnsi="標楷體" w:hint="eastAsia"/>
                <w:color w:val="000000"/>
              </w:rPr>
              <w:t>配合證券市場已全面實施款</w:t>
            </w:r>
            <w:proofErr w:type="gramStart"/>
            <w:r>
              <w:rPr>
                <w:rFonts w:ascii="標楷體" w:eastAsia="標楷體" w:hAnsi="標楷體" w:hint="eastAsia"/>
                <w:color w:val="000000"/>
              </w:rPr>
              <w:t>券</w:t>
            </w:r>
            <w:proofErr w:type="gramEnd"/>
            <w:r>
              <w:rPr>
                <w:rFonts w:ascii="標楷體" w:eastAsia="標楷體" w:hAnsi="標楷體" w:hint="eastAsia"/>
                <w:color w:val="000000"/>
              </w:rPr>
              <w:t>劃撥制度，實體</w:t>
            </w:r>
            <w:proofErr w:type="gramStart"/>
            <w:r>
              <w:rPr>
                <w:rFonts w:ascii="標楷體" w:eastAsia="標楷體" w:hAnsi="標楷體" w:hint="eastAsia"/>
                <w:color w:val="000000"/>
              </w:rPr>
              <w:t>股票開庫發放</w:t>
            </w:r>
            <w:proofErr w:type="gramEnd"/>
            <w:r>
              <w:rPr>
                <w:rFonts w:ascii="標楷體" w:eastAsia="標楷體" w:hAnsi="標楷體" w:hint="eastAsia"/>
                <w:color w:val="000000"/>
              </w:rPr>
              <w:t>與現行實務不符，</w:t>
            </w:r>
            <w:proofErr w:type="gramStart"/>
            <w:r>
              <w:rPr>
                <w:rFonts w:ascii="標楷體" w:eastAsia="標楷體" w:hAnsi="標楷體" w:hint="eastAsia"/>
                <w:color w:val="000000"/>
              </w:rPr>
              <w:t>爰</w:t>
            </w:r>
            <w:proofErr w:type="gramEnd"/>
            <w:r>
              <w:rPr>
                <w:rFonts w:ascii="標楷體" w:eastAsia="標楷體" w:hAnsi="標楷體" w:hint="eastAsia"/>
                <w:color w:val="000000"/>
              </w:rPr>
              <w:t>刪除本條規定。</w:t>
            </w:r>
          </w:p>
        </w:tc>
      </w:tr>
      <w:tr w:rsidR="004A5911" w:rsidRPr="003D1041" w:rsidTr="00DC7B60">
        <w:tc>
          <w:tcPr>
            <w:tcW w:w="2787" w:type="dxa"/>
          </w:tcPr>
          <w:p w:rsidR="00E17ECC" w:rsidRDefault="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u w:val="single"/>
              </w:rPr>
            </w:pPr>
            <w:r w:rsidRPr="00551203">
              <w:rPr>
                <w:rFonts w:ascii="標楷體" w:eastAsia="標楷體" w:hAnsi="標楷體" w:hint="eastAsia"/>
                <w:u w:val="single"/>
              </w:rPr>
              <w:t>第三條</w:t>
            </w:r>
          </w:p>
          <w:p w:rsidR="00842D52" w:rsidRDefault="00842D52" w:rsidP="00797E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76757">
              <w:rPr>
                <w:rFonts w:ascii="標楷體" w:eastAsia="標楷體" w:hAnsi="標楷體" w:hint="eastAsia"/>
              </w:rPr>
              <w:t>證券商有下列情事之</w:t>
            </w:r>
            <w:proofErr w:type="gramStart"/>
            <w:r w:rsidRPr="00076757">
              <w:rPr>
                <w:rFonts w:ascii="標楷體" w:eastAsia="標楷體" w:hAnsi="標楷體" w:hint="eastAsia"/>
              </w:rPr>
              <w:t>一</w:t>
            </w:r>
            <w:proofErr w:type="gramEnd"/>
            <w:r w:rsidRPr="00076757">
              <w:rPr>
                <w:rFonts w:ascii="標楷體" w:eastAsia="標楷體" w:hAnsi="標楷體" w:hint="eastAsia"/>
              </w:rPr>
              <w:t>者，即為規避或拒絕檢查：</w:t>
            </w:r>
          </w:p>
          <w:p w:rsidR="00E17ECC" w:rsidRDefault="005D4909">
            <w:pPr>
              <w:pStyle w:val="a8"/>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rPr>
            </w:pPr>
            <w:r>
              <w:rPr>
                <w:rFonts w:ascii="標楷體" w:eastAsia="標楷體" w:hAnsi="標楷體" w:hint="eastAsia"/>
                <w:u w:val="single"/>
              </w:rPr>
              <w:t>未依本公司指定</w:t>
            </w:r>
            <w:r w:rsidR="00551203" w:rsidRPr="00551203">
              <w:rPr>
                <w:rFonts w:ascii="標楷體" w:eastAsia="標楷體" w:hAnsi="標楷體" w:hint="eastAsia"/>
                <w:u w:val="single"/>
              </w:rPr>
              <w:t>期限提示帳簿、交易憑證</w:t>
            </w:r>
            <w:r w:rsidR="00125BB3">
              <w:rPr>
                <w:rFonts w:ascii="標楷體" w:eastAsia="標楷體" w:hAnsi="標楷體" w:hint="eastAsia"/>
                <w:u w:val="single"/>
              </w:rPr>
              <w:t>等</w:t>
            </w:r>
            <w:r w:rsidR="00551203" w:rsidRPr="00551203">
              <w:rPr>
                <w:rFonts w:ascii="標楷體" w:eastAsia="標楷體" w:hAnsi="標楷體" w:hint="eastAsia"/>
                <w:u w:val="single"/>
              </w:rPr>
              <w:t>資料者</w:t>
            </w:r>
            <w:r w:rsidR="00551203" w:rsidRPr="00551203">
              <w:rPr>
                <w:rFonts w:ascii="標楷體" w:eastAsia="標楷體" w:hAnsi="標楷體" w:hint="eastAsia"/>
              </w:rPr>
              <w:t>。</w:t>
            </w:r>
          </w:p>
          <w:p w:rsidR="00551203" w:rsidRDefault="00551203" w:rsidP="00551203">
            <w:pPr>
              <w:pStyle w:val="a8"/>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rPr>
            </w:pPr>
            <w:r w:rsidRPr="00551203">
              <w:rPr>
                <w:rFonts w:ascii="標楷體" w:eastAsia="標楷體" w:hAnsi="標楷體" w:hint="eastAsia"/>
                <w:u w:val="single"/>
              </w:rPr>
              <w:t>故意製造事端，而導致查核工作難以順利進行者</w:t>
            </w:r>
            <w:r w:rsidR="00205DB2">
              <w:rPr>
                <w:rFonts w:ascii="標楷體" w:eastAsia="標楷體" w:hAnsi="標楷體" w:hint="eastAsia"/>
              </w:rPr>
              <w:t>。</w:t>
            </w:r>
          </w:p>
          <w:p w:rsidR="00E17ECC" w:rsidRDefault="00551203">
            <w:pPr>
              <w:pStyle w:val="a8"/>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u w:val="single"/>
              </w:rPr>
            </w:pPr>
            <w:r w:rsidRPr="00551203">
              <w:rPr>
                <w:rFonts w:ascii="標楷體" w:eastAsia="標楷體" w:hAnsi="標楷體" w:hint="eastAsia"/>
                <w:u w:val="single"/>
              </w:rPr>
              <w:t>前款情形雖非有意為之，如事前可得預見而容任發生，或事中可得排除而</w:t>
            </w:r>
            <w:proofErr w:type="gramStart"/>
            <w:r w:rsidRPr="00551203">
              <w:rPr>
                <w:rFonts w:ascii="標楷體" w:eastAsia="標楷體" w:hAnsi="標楷體" w:hint="eastAsia"/>
                <w:u w:val="single"/>
              </w:rPr>
              <w:t>怠</w:t>
            </w:r>
            <w:proofErr w:type="gramEnd"/>
            <w:r w:rsidRPr="00551203">
              <w:rPr>
                <w:rFonts w:ascii="標楷體" w:eastAsia="標楷體" w:hAnsi="標楷體" w:hint="eastAsia"/>
                <w:u w:val="single"/>
              </w:rPr>
              <w:t>於</w:t>
            </w:r>
            <w:r w:rsidRPr="00551203">
              <w:rPr>
                <w:rFonts w:ascii="標楷體" w:eastAsia="標楷體" w:hAnsi="標楷體" w:hint="eastAsia"/>
                <w:u w:val="single"/>
              </w:rPr>
              <w:lastRenderedPageBreak/>
              <w:t>排除者，亦同。</w:t>
            </w:r>
          </w:p>
        </w:tc>
        <w:tc>
          <w:tcPr>
            <w:tcW w:w="2787" w:type="dxa"/>
          </w:tcPr>
          <w:p w:rsidR="00E17ECC" w:rsidRDefault="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551203">
              <w:rPr>
                <w:rFonts w:ascii="標楷體" w:eastAsia="標楷體" w:hAnsi="標楷體" w:hint="eastAsia"/>
              </w:rPr>
              <w:lastRenderedPageBreak/>
              <w:t>四</w:t>
            </w:r>
            <w:r w:rsidR="006B19F8">
              <w:rPr>
                <w:rFonts w:ascii="標楷體" w:eastAsia="標楷體" w:hAnsi="標楷體" w:hint="eastAsia"/>
              </w:rPr>
              <w:t>、</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551203">
              <w:rPr>
                <w:rFonts w:ascii="標楷體" w:eastAsia="標楷體" w:hAnsi="標楷體" w:hint="eastAsia"/>
              </w:rPr>
              <w:t>證券商有下列情事之</w:t>
            </w:r>
            <w:proofErr w:type="gramStart"/>
            <w:r w:rsidRPr="00551203">
              <w:rPr>
                <w:rFonts w:ascii="標楷體" w:eastAsia="標楷體" w:hAnsi="標楷體" w:hint="eastAsia"/>
              </w:rPr>
              <w:t>一</w:t>
            </w:r>
            <w:proofErr w:type="gramEnd"/>
            <w:r w:rsidRPr="00551203">
              <w:rPr>
                <w:rFonts w:ascii="標楷體" w:eastAsia="標楷體" w:hAnsi="標楷體" w:hint="eastAsia"/>
              </w:rPr>
              <w:t>者，即為規避或拒絕檢查：</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4" w:hangingChars="256" w:hanging="614"/>
              <w:rPr>
                <w:rFonts w:ascii="標楷體" w:eastAsia="標楷體" w:hAnsi="標楷體"/>
              </w:rPr>
            </w:pPr>
            <w:r w:rsidRPr="00551203">
              <w:rPr>
                <w:rFonts w:ascii="標楷體" w:eastAsia="標楷體" w:hAnsi="標楷體"/>
              </w:rPr>
              <w:t>(</w:t>
            </w:r>
            <w:proofErr w:type="gramStart"/>
            <w:r w:rsidRPr="00551203">
              <w:rPr>
                <w:rFonts w:ascii="標楷體" w:eastAsia="標楷體" w:hAnsi="標楷體" w:hint="eastAsia"/>
              </w:rPr>
              <w:t>一</w:t>
            </w:r>
            <w:proofErr w:type="gramEnd"/>
            <w:r w:rsidRPr="00551203">
              <w:rPr>
                <w:rFonts w:ascii="標楷體" w:eastAsia="標楷體" w:hAnsi="標楷體"/>
              </w:rPr>
              <w:t xml:space="preserve">) </w:t>
            </w:r>
            <w:r w:rsidRPr="00551203">
              <w:rPr>
                <w:rFonts w:ascii="標楷體" w:eastAsia="標楷體" w:hAnsi="標楷體" w:hint="eastAsia"/>
              </w:rPr>
              <w:t>經本公司函請於文到二日內提示相關</w:t>
            </w:r>
            <w:proofErr w:type="gramStart"/>
            <w:r w:rsidRPr="00551203">
              <w:rPr>
                <w:rFonts w:ascii="標楷體" w:eastAsia="標楷體" w:hAnsi="標楷體" w:hint="eastAsia"/>
              </w:rPr>
              <w:t>帳冊</w:t>
            </w:r>
            <w:proofErr w:type="gramEnd"/>
            <w:r w:rsidRPr="00551203">
              <w:rPr>
                <w:rFonts w:ascii="標楷體" w:eastAsia="標楷體" w:hAnsi="標楷體" w:hint="eastAsia"/>
              </w:rPr>
              <w:t>憑證及資料，逾期未提示者。</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4" w:hangingChars="256" w:hanging="614"/>
              <w:rPr>
                <w:rFonts w:ascii="標楷體" w:eastAsia="標楷體" w:hAnsi="標楷體"/>
              </w:rPr>
            </w:pPr>
            <w:r w:rsidRPr="00551203">
              <w:rPr>
                <w:rFonts w:ascii="標楷體" w:eastAsia="標楷體" w:hAnsi="標楷體"/>
              </w:rPr>
              <w:t>(二) 證券商故意製作事端，或雖非有意為之，如事前可得預見而容任</w:t>
            </w:r>
            <w:r w:rsidRPr="00551203">
              <w:rPr>
                <w:rFonts w:ascii="標楷體" w:eastAsia="標楷體" w:hAnsi="標楷體"/>
                <w:u w:val="single"/>
              </w:rPr>
              <w:t>其</w:t>
            </w:r>
            <w:r w:rsidRPr="00551203">
              <w:rPr>
                <w:rFonts w:ascii="標楷體" w:eastAsia="標楷體" w:hAnsi="標楷體"/>
              </w:rPr>
              <w:t>發生，或事中可得排除而</w:t>
            </w:r>
            <w:proofErr w:type="gramStart"/>
            <w:r w:rsidRPr="00551203">
              <w:rPr>
                <w:rFonts w:ascii="標楷體" w:eastAsia="標楷體" w:hAnsi="標楷體" w:hint="eastAsia"/>
              </w:rPr>
              <w:t>怠</w:t>
            </w:r>
            <w:proofErr w:type="gramEnd"/>
            <w:r w:rsidRPr="00551203">
              <w:rPr>
                <w:rFonts w:ascii="標楷體" w:eastAsia="標楷體" w:hAnsi="標楷體" w:hint="eastAsia"/>
              </w:rPr>
              <w:t>於立即排除，而</w:t>
            </w:r>
            <w:r w:rsidRPr="00551203">
              <w:rPr>
                <w:rFonts w:ascii="標楷體" w:eastAsia="標楷體" w:hAnsi="標楷體" w:hint="eastAsia"/>
              </w:rPr>
              <w:lastRenderedPageBreak/>
              <w:t>導致查核工作難以順利進行者。</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 w:left="614" w:hangingChars="236" w:hanging="566"/>
              <w:rPr>
                <w:rFonts w:ascii="標楷體" w:eastAsia="標楷體" w:hAnsi="標楷體"/>
                <w:u w:val="single"/>
              </w:rPr>
            </w:pPr>
            <w:r w:rsidRPr="00551203">
              <w:rPr>
                <w:rFonts w:ascii="標楷體" w:eastAsia="標楷體" w:hAnsi="標楷體"/>
                <w:u w:val="single"/>
              </w:rPr>
              <w:t>(三) 於第三項規定時</w:t>
            </w:r>
            <w:r w:rsidRPr="00551203">
              <w:rPr>
                <w:rFonts w:ascii="標楷體" w:eastAsia="標楷體" w:hAnsi="標楷體" w:hint="eastAsia"/>
                <w:u w:val="single"/>
              </w:rPr>
              <w:t>間</w:t>
            </w:r>
            <w:proofErr w:type="gramStart"/>
            <w:r w:rsidRPr="00551203">
              <w:rPr>
                <w:rFonts w:ascii="標楷體" w:eastAsia="標楷體" w:hAnsi="標楷體" w:hint="eastAsia"/>
                <w:u w:val="single"/>
              </w:rPr>
              <w:t>之前開庫發放</w:t>
            </w:r>
            <w:proofErr w:type="gramEnd"/>
            <w:r w:rsidRPr="00551203">
              <w:rPr>
                <w:rFonts w:ascii="標楷體" w:eastAsia="標楷體" w:hAnsi="標楷體" w:hint="eastAsia"/>
                <w:u w:val="single"/>
              </w:rPr>
              <w:t>股票者。</w:t>
            </w:r>
          </w:p>
        </w:tc>
        <w:tc>
          <w:tcPr>
            <w:tcW w:w="2788" w:type="dxa"/>
          </w:tcPr>
          <w:p w:rsidR="00551203" w:rsidRDefault="00551203" w:rsidP="00551203">
            <w:pPr>
              <w:pStyle w:val="a8"/>
              <w:numPr>
                <w:ilvl w:val="0"/>
                <w:numId w:val="12"/>
              </w:numPr>
              <w:adjustRightInd w:val="0"/>
              <w:snapToGrid w:val="0"/>
              <w:spacing w:line="360" w:lineRule="exact"/>
              <w:ind w:leftChars="0" w:left="482" w:hanging="482"/>
              <w:jc w:val="both"/>
              <w:rPr>
                <w:rFonts w:ascii="標楷體" w:eastAsia="標楷體" w:hAnsi="標楷體"/>
                <w:color w:val="000000"/>
              </w:rPr>
            </w:pPr>
            <w:r w:rsidRPr="00551203">
              <w:rPr>
                <w:rFonts w:ascii="標楷體" w:eastAsia="標楷體" w:hAnsi="標楷體" w:hint="eastAsia"/>
                <w:color w:val="000000"/>
              </w:rPr>
              <w:lastRenderedPageBreak/>
              <w:t>調整規章條次體例</w:t>
            </w:r>
            <w:r w:rsidR="00EA3BE3">
              <w:rPr>
                <w:rFonts w:ascii="標楷體" w:eastAsia="標楷體" w:hAnsi="標楷體" w:hint="eastAsia"/>
                <w:color w:val="000000"/>
              </w:rPr>
              <w:t>，並調整條文體例用語</w:t>
            </w:r>
            <w:r w:rsidR="000E63B0">
              <w:rPr>
                <w:rFonts w:ascii="標楷體" w:eastAsia="標楷體" w:hAnsi="標楷體" w:hint="eastAsia"/>
                <w:color w:val="000000"/>
              </w:rPr>
              <w:t>，原第二款</w:t>
            </w:r>
            <w:r w:rsidR="002F147D">
              <w:rPr>
                <w:rFonts w:ascii="標楷體" w:eastAsia="標楷體" w:hAnsi="標楷體" w:hint="eastAsia"/>
                <w:color w:val="000000"/>
              </w:rPr>
              <w:t>之內容分</w:t>
            </w:r>
            <w:r w:rsidR="000E63B0">
              <w:rPr>
                <w:rFonts w:ascii="標楷體" w:eastAsia="標楷體" w:hAnsi="標楷體" w:hint="eastAsia"/>
                <w:color w:val="000000"/>
              </w:rPr>
              <w:t>別規定於第二款</w:t>
            </w:r>
            <w:r w:rsidR="00A07CFA">
              <w:rPr>
                <w:rFonts w:ascii="標楷體" w:eastAsia="標楷體" w:hAnsi="標楷體" w:hint="eastAsia"/>
                <w:color w:val="000000"/>
              </w:rPr>
              <w:t>及第三</w:t>
            </w:r>
            <w:r w:rsidR="000E63B0">
              <w:rPr>
                <w:rFonts w:ascii="標楷體" w:eastAsia="標楷體" w:hAnsi="標楷體" w:hint="eastAsia"/>
                <w:color w:val="000000"/>
              </w:rPr>
              <w:t>款</w:t>
            </w:r>
            <w:r w:rsidRPr="00551203">
              <w:rPr>
                <w:rFonts w:ascii="標楷體" w:eastAsia="標楷體" w:hAnsi="標楷體" w:hint="eastAsia"/>
                <w:color w:val="000000"/>
              </w:rPr>
              <w:t>。</w:t>
            </w:r>
          </w:p>
          <w:p w:rsidR="00551203" w:rsidRDefault="00B93304" w:rsidP="00551203">
            <w:pPr>
              <w:pStyle w:val="a8"/>
              <w:numPr>
                <w:ilvl w:val="0"/>
                <w:numId w:val="12"/>
              </w:numPr>
              <w:adjustRightInd w:val="0"/>
              <w:snapToGrid w:val="0"/>
              <w:spacing w:line="360" w:lineRule="exact"/>
              <w:ind w:leftChars="0" w:left="482" w:hanging="482"/>
              <w:jc w:val="both"/>
              <w:rPr>
                <w:rFonts w:ascii="標楷體" w:eastAsia="標楷體" w:hAnsi="標楷體"/>
                <w:color w:val="000000"/>
              </w:rPr>
            </w:pPr>
            <w:r>
              <w:rPr>
                <w:rFonts w:ascii="標楷體" w:eastAsia="標楷體" w:hAnsi="標楷體" w:hint="eastAsia"/>
                <w:color w:val="000000"/>
              </w:rPr>
              <w:t>配合證券市場已全面實施款</w:t>
            </w:r>
            <w:proofErr w:type="gramStart"/>
            <w:r>
              <w:rPr>
                <w:rFonts w:ascii="標楷體" w:eastAsia="標楷體" w:hAnsi="標楷體" w:hint="eastAsia"/>
                <w:color w:val="000000"/>
              </w:rPr>
              <w:t>券</w:t>
            </w:r>
            <w:proofErr w:type="gramEnd"/>
            <w:r>
              <w:rPr>
                <w:rFonts w:ascii="標楷體" w:eastAsia="標楷體" w:hAnsi="標楷體" w:hint="eastAsia"/>
                <w:color w:val="000000"/>
              </w:rPr>
              <w:t>劃撥制度，實體</w:t>
            </w:r>
            <w:proofErr w:type="gramStart"/>
            <w:r>
              <w:rPr>
                <w:rFonts w:ascii="標楷體" w:eastAsia="標楷體" w:hAnsi="標楷體" w:hint="eastAsia"/>
                <w:color w:val="000000"/>
              </w:rPr>
              <w:t>股票開庫發放</w:t>
            </w:r>
            <w:proofErr w:type="gramEnd"/>
            <w:r>
              <w:rPr>
                <w:rFonts w:ascii="標楷體" w:eastAsia="標楷體" w:hAnsi="標楷體" w:hint="eastAsia"/>
                <w:color w:val="000000"/>
              </w:rPr>
              <w:t>與現行實務不符，</w:t>
            </w:r>
            <w:proofErr w:type="gramStart"/>
            <w:r>
              <w:rPr>
                <w:rFonts w:ascii="標楷體" w:eastAsia="標楷體" w:hAnsi="標楷體" w:hint="eastAsia"/>
                <w:color w:val="000000"/>
              </w:rPr>
              <w:t>爰</w:t>
            </w:r>
            <w:proofErr w:type="gramEnd"/>
            <w:r>
              <w:rPr>
                <w:rFonts w:ascii="標楷體" w:eastAsia="標楷體" w:hAnsi="標楷體" w:hint="eastAsia"/>
                <w:color w:val="000000"/>
              </w:rPr>
              <w:t>刪除</w:t>
            </w:r>
            <w:r w:rsidR="000E63B0">
              <w:rPr>
                <w:rFonts w:ascii="標楷體" w:eastAsia="標楷體" w:hAnsi="標楷體" w:hint="eastAsia"/>
                <w:color w:val="000000"/>
              </w:rPr>
              <w:t>原</w:t>
            </w:r>
            <w:r>
              <w:rPr>
                <w:rFonts w:ascii="標楷體" w:eastAsia="標楷體" w:hAnsi="標楷體" w:hint="eastAsia"/>
                <w:color w:val="000000"/>
              </w:rPr>
              <w:t>第三款規定。</w:t>
            </w:r>
          </w:p>
          <w:p w:rsidR="00551203" w:rsidRPr="00551203" w:rsidRDefault="00551203" w:rsidP="00551203">
            <w:pPr>
              <w:adjustRightInd w:val="0"/>
              <w:snapToGrid w:val="0"/>
              <w:spacing w:line="360" w:lineRule="exact"/>
              <w:jc w:val="both"/>
              <w:rPr>
                <w:rFonts w:ascii="標楷體" w:eastAsia="標楷體" w:hAnsi="標楷體"/>
                <w:color w:val="000000"/>
              </w:rPr>
            </w:pPr>
          </w:p>
        </w:tc>
      </w:tr>
      <w:tr w:rsidR="004A5911" w:rsidRPr="003D1041" w:rsidTr="00DC7B60">
        <w:tc>
          <w:tcPr>
            <w:tcW w:w="2787" w:type="dxa"/>
          </w:tcPr>
          <w:p w:rsidR="00E17ECC" w:rsidRDefault="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551203">
              <w:rPr>
                <w:rFonts w:ascii="標楷體" w:eastAsia="標楷體" w:hAnsi="標楷體" w:hint="eastAsia"/>
                <w:u w:val="single"/>
              </w:rPr>
              <w:lastRenderedPageBreak/>
              <w:t>第四條</w:t>
            </w:r>
          </w:p>
          <w:p w:rsidR="00551203" w:rsidRDefault="00D81D04"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Pr>
                <w:rFonts w:ascii="標楷體" w:eastAsia="標楷體" w:hAnsi="標楷體" w:hint="eastAsia"/>
              </w:rPr>
              <w:t>證券商有前</w:t>
            </w:r>
            <w:r w:rsidR="00551203" w:rsidRPr="00551203">
              <w:rPr>
                <w:rFonts w:ascii="標楷體" w:eastAsia="標楷體" w:hAnsi="標楷體" w:hint="eastAsia"/>
                <w:u w:val="single"/>
              </w:rPr>
              <w:t>條</w:t>
            </w:r>
            <w:r w:rsidR="00797E96" w:rsidRPr="00EB3EDF">
              <w:rPr>
                <w:rFonts w:ascii="標楷體" w:eastAsia="標楷體" w:hAnsi="標楷體" w:hint="eastAsia"/>
              </w:rPr>
              <w:t>所定情事之</w:t>
            </w:r>
            <w:proofErr w:type="gramStart"/>
            <w:r w:rsidR="00797E96" w:rsidRPr="00EB3EDF">
              <w:rPr>
                <w:rFonts w:ascii="標楷體" w:eastAsia="標楷體" w:hAnsi="標楷體" w:hint="eastAsia"/>
              </w:rPr>
              <w:t>一</w:t>
            </w:r>
            <w:proofErr w:type="gramEnd"/>
            <w:r w:rsidR="00797E96" w:rsidRPr="00EB3EDF">
              <w:rPr>
                <w:rFonts w:ascii="標楷體" w:eastAsia="標楷體" w:hAnsi="標楷體" w:hint="eastAsia"/>
              </w:rPr>
              <w:t>者，本公司</w:t>
            </w:r>
            <w:r w:rsidR="00551203" w:rsidRPr="00551203">
              <w:rPr>
                <w:rFonts w:ascii="標楷體" w:eastAsia="標楷體" w:hAnsi="標楷體" w:hint="eastAsia"/>
                <w:u w:val="single"/>
              </w:rPr>
              <w:t>得依</w:t>
            </w:r>
            <w:r w:rsidR="00797E96" w:rsidRPr="00EB3EDF">
              <w:rPr>
                <w:rFonts w:ascii="標楷體" w:eastAsia="標楷體" w:hAnsi="標楷體" w:hint="eastAsia"/>
              </w:rPr>
              <w:t>營業細則第一百四十二條</w:t>
            </w:r>
            <w:r w:rsidR="00551203" w:rsidRPr="00551203">
              <w:rPr>
                <w:rFonts w:ascii="標楷體" w:eastAsia="標楷體" w:hAnsi="標楷體" w:hint="eastAsia"/>
                <w:u w:val="single"/>
              </w:rPr>
              <w:t>第一項第一款</w:t>
            </w:r>
            <w:r w:rsidR="00797E96" w:rsidRPr="00EB3EDF">
              <w:rPr>
                <w:rFonts w:ascii="標楷體" w:eastAsia="標楷體" w:hAnsi="標楷體" w:hint="eastAsia"/>
              </w:rPr>
              <w:t>之規定，暫停其買賣，並函報主管機關備案。證券商之受</w:t>
            </w:r>
            <w:proofErr w:type="gramStart"/>
            <w:r w:rsidR="00797E96" w:rsidRPr="00EB3EDF">
              <w:rPr>
                <w:rFonts w:ascii="標楷體" w:eastAsia="標楷體" w:hAnsi="標楷體" w:hint="eastAsia"/>
              </w:rPr>
              <w:t>僱</w:t>
            </w:r>
            <w:proofErr w:type="gramEnd"/>
            <w:r w:rsidR="00797E96" w:rsidRPr="00EB3EDF">
              <w:rPr>
                <w:rFonts w:ascii="標楷體" w:eastAsia="標楷體" w:hAnsi="標楷體" w:hint="eastAsia"/>
              </w:rPr>
              <w:t>人</w:t>
            </w:r>
            <w:r w:rsidR="00551203" w:rsidRPr="00551203">
              <w:rPr>
                <w:rFonts w:ascii="標楷體" w:eastAsia="標楷體" w:hAnsi="標楷體" w:hint="eastAsia"/>
                <w:u w:val="single"/>
              </w:rPr>
              <w:t>亦</w:t>
            </w:r>
            <w:r w:rsidR="00797E96" w:rsidRPr="00EB3EDF">
              <w:rPr>
                <w:rFonts w:ascii="標楷體" w:eastAsia="標楷體" w:hAnsi="標楷體" w:hint="eastAsia"/>
              </w:rPr>
              <w:t>涉有違反前述規避或拒絕檢查情事者，並依</w:t>
            </w:r>
            <w:r w:rsidR="00551203" w:rsidRPr="00551203">
              <w:rPr>
                <w:rFonts w:ascii="標楷體" w:eastAsia="標楷體" w:hAnsi="標楷體" w:hint="eastAsia"/>
                <w:u w:val="single"/>
              </w:rPr>
              <w:t>同</w:t>
            </w:r>
            <w:r w:rsidR="00797E96" w:rsidRPr="00EB3EDF">
              <w:rPr>
                <w:rFonts w:ascii="標楷體" w:eastAsia="標楷體" w:hAnsi="標楷體" w:hint="eastAsia"/>
              </w:rPr>
              <w:t>細則第一百四十四條之規定，暫停執行業務或報請主管機關撤銷其登記。</w:t>
            </w:r>
          </w:p>
        </w:tc>
        <w:tc>
          <w:tcPr>
            <w:tcW w:w="2787" w:type="dxa"/>
          </w:tcPr>
          <w:p w:rsidR="00E17ECC" w:rsidRDefault="006B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五、</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551203">
              <w:rPr>
                <w:rFonts w:ascii="標楷體" w:eastAsia="標楷體" w:hAnsi="標楷體" w:hint="eastAsia"/>
              </w:rPr>
              <w:t>證券商有前項所定情事之</w:t>
            </w:r>
            <w:proofErr w:type="gramStart"/>
            <w:r w:rsidRPr="00551203">
              <w:rPr>
                <w:rFonts w:ascii="標楷體" w:eastAsia="標楷體" w:hAnsi="標楷體" w:hint="eastAsia"/>
              </w:rPr>
              <w:t>一</w:t>
            </w:r>
            <w:proofErr w:type="gramEnd"/>
            <w:r w:rsidRPr="00551203">
              <w:rPr>
                <w:rFonts w:ascii="標楷體" w:eastAsia="標楷體" w:hAnsi="標楷體" w:hint="eastAsia"/>
              </w:rPr>
              <w:t>者，</w:t>
            </w:r>
            <w:r w:rsidRPr="00551203">
              <w:rPr>
                <w:rFonts w:ascii="標楷體" w:eastAsia="標楷體" w:hAnsi="標楷體" w:hint="eastAsia"/>
                <w:u w:val="single"/>
              </w:rPr>
              <w:t>依據</w:t>
            </w:r>
            <w:r w:rsidRPr="00551203">
              <w:rPr>
                <w:rFonts w:ascii="標楷體" w:eastAsia="標楷體" w:hAnsi="標楷體" w:hint="eastAsia"/>
              </w:rPr>
              <w:t>本公司營業細則第一百四十二條之規定，暫停其買賣，並函報主管機關備案。證券商之受</w:t>
            </w:r>
            <w:proofErr w:type="gramStart"/>
            <w:r w:rsidRPr="00551203">
              <w:rPr>
                <w:rFonts w:ascii="標楷體" w:eastAsia="標楷體" w:hAnsi="標楷體" w:hint="eastAsia"/>
              </w:rPr>
              <w:t>僱</w:t>
            </w:r>
            <w:proofErr w:type="gramEnd"/>
            <w:r w:rsidRPr="00551203">
              <w:rPr>
                <w:rFonts w:ascii="標楷體" w:eastAsia="標楷體" w:hAnsi="標楷體" w:hint="eastAsia"/>
              </w:rPr>
              <w:t>人涉有違反前述規避或拒絕檢查情事者，並依本公司營業細則第一百四十四條之規定，暫停</w:t>
            </w:r>
            <w:r w:rsidRPr="00551203">
              <w:rPr>
                <w:rFonts w:ascii="標楷體" w:eastAsia="標楷體" w:hAnsi="標楷體" w:hint="eastAsia"/>
                <w:u w:val="single"/>
              </w:rPr>
              <w:t>其</w:t>
            </w:r>
            <w:r w:rsidRPr="00551203">
              <w:rPr>
                <w:rFonts w:ascii="標楷體" w:eastAsia="標楷體" w:hAnsi="標楷體" w:hint="eastAsia"/>
              </w:rPr>
              <w:t>執行業務或報請主管機關撤銷其登記。</w:t>
            </w:r>
          </w:p>
          <w:p w:rsidR="00551203" w:rsidRPr="00551203" w:rsidRDefault="00551203" w:rsidP="00551203">
            <w:pPr>
              <w:adjustRightInd w:val="0"/>
              <w:snapToGrid w:val="0"/>
              <w:jc w:val="center"/>
              <w:rPr>
                <w:rFonts w:ascii="標楷體" w:eastAsia="標楷體" w:hAnsi="標楷體"/>
              </w:rPr>
            </w:pPr>
          </w:p>
        </w:tc>
        <w:tc>
          <w:tcPr>
            <w:tcW w:w="2788" w:type="dxa"/>
          </w:tcPr>
          <w:p w:rsidR="00551203" w:rsidRDefault="00551203" w:rsidP="00551203">
            <w:pPr>
              <w:pStyle w:val="a8"/>
              <w:numPr>
                <w:ilvl w:val="0"/>
                <w:numId w:val="13"/>
              </w:numPr>
              <w:adjustRightInd w:val="0"/>
              <w:snapToGrid w:val="0"/>
              <w:spacing w:line="360" w:lineRule="exact"/>
              <w:ind w:leftChars="0" w:left="482" w:hanging="482"/>
              <w:rPr>
                <w:rFonts w:ascii="標楷體" w:eastAsia="標楷體" w:hAnsi="標楷體"/>
                <w:color w:val="000000"/>
              </w:rPr>
            </w:pPr>
            <w:r w:rsidRPr="00551203">
              <w:rPr>
                <w:rFonts w:ascii="標楷體" w:eastAsia="標楷體" w:hAnsi="標楷體" w:hint="eastAsia"/>
                <w:color w:val="000000"/>
              </w:rPr>
              <w:t>調整規章條次體例。</w:t>
            </w:r>
          </w:p>
          <w:p w:rsidR="00551203" w:rsidRPr="00551203" w:rsidRDefault="00774070" w:rsidP="00551203">
            <w:pPr>
              <w:pStyle w:val="a8"/>
              <w:numPr>
                <w:ilvl w:val="0"/>
                <w:numId w:val="13"/>
              </w:numPr>
              <w:adjustRightInd w:val="0"/>
              <w:snapToGrid w:val="0"/>
              <w:spacing w:line="360" w:lineRule="exact"/>
              <w:ind w:leftChars="0" w:left="482" w:hanging="482"/>
              <w:rPr>
                <w:rFonts w:ascii="標楷體" w:eastAsia="標楷體" w:hAnsi="標楷體"/>
                <w:color w:val="000000"/>
              </w:rPr>
            </w:pPr>
            <w:r>
              <w:rPr>
                <w:rFonts w:ascii="標楷體" w:eastAsia="標楷體" w:hAnsi="標楷體" w:hint="eastAsia"/>
                <w:color w:val="000000"/>
              </w:rPr>
              <w:t>為明確處置依據，</w:t>
            </w:r>
            <w:proofErr w:type="gramStart"/>
            <w:r>
              <w:rPr>
                <w:rFonts w:ascii="標楷體" w:eastAsia="標楷體" w:hAnsi="標楷體" w:hint="eastAsia"/>
                <w:color w:val="000000"/>
              </w:rPr>
              <w:t>爰</w:t>
            </w:r>
            <w:proofErr w:type="gramEnd"/>
            <w:r>
              <w:rPr>
                <w:rFonts w:ascii="標楷體" w:eastAsia="標楷體" w:hAnsi="標楷體" w:hint="eastAsia"/>
                <w:color w:val="000000"/>
              </w:rPr>
              <w:t>明定處置相關條文。</w:t>
            </w:r>
          </w:p>
        </w:tc>
      </w:tr>
      <w:tr w:rsidR="004A5911" w:rsidRPr="00EA20B1" w:rsidTr="00DC7B60">
        <w:tc>
          <w:tcPr>
            <w:tcW w:w="2787" w:type="dxa"/>
          </w:tcPr>
          <w:p w:rsidR="00E17ECC" w:rsidRDefault="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551203">
              <w:rPr>
                <w:rFonts w:ascii="標楷體" w:eastAsia="標楷體" w:hAnsi="標楷體" w:hint="eastAsia"/>
                <w:u w:val="single"/>
              </w:rPr>
              <w:t>第五條</w:t>
            </w:r>
          </w:p>
          <w:p w:rsidR="00E17ECC" w:rsidRDefault="00CB7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標楷體" w:eastAsia="標楷體" w:hAnsi="標楷體" w:hint="eastAsia"/>
                <w:u w:val="single"/>
              </w:rPr>
              <w:t>前</w:t>
            </w:r>
            <w:r w:rsidR="00551203" w:rsidRPr="00551203">
              <w:rPr>
                <w:rFonts w:ascii="標楷體" w:eastAsia="標楷體" w:hAnsi="標楷體" w:hint="eastAsia"/>
                <w:u w:val="single"/>
              </w:rPr>
              <w:t>條暫停買賣之證券商，有下列情事之</w:t>
            </w:r>
            <w:proofErr w:type="gramStart"/>
            <w:r w:rsidR="00551203" w:rsidRPr="00551203">
              <w:rPr>
                <w:rFonts w:ascii="標楷體" w:eastAsia="標楷體" w:hAnsi="標楷體" w:hint="eastAsia"/>
                <w:u w:val="single"/>
              </w:rPr>
              <w:t>一</w:t>
            </w:r>
            <w:proofErr w:type="gramEnd"/>
            <w:r w:rsidR="00551203" w:rsidRPr="00551203">
              <w:rPr>
                <w:rFonts w:ascii="標楷體" w:eastAsia="標楷體" w:hAnsi="標楷體" w:hint="eastAsia"/>
                <w:u w:val="single"/>
              </w:rPr>
              <w:t>者，</w:t>
            </w:r>
            <w:r w:rsidRPr="00BB23CF">
              <w:rPr>
                <w:rFonts w:ascii="標楷體" w:eastAsia="標楷體" w:hAnsi="標楷體" w:hint="eastAsia"/>
                <w:u w:val="single"/>
              </w:rPr>
              <w:t>本公司得依營業細則第一百四十一條第一項第八款規定終止其使用市場契約</w:t>
            </w:r>
            <w:r w:rsidR="00551203" w:rsidRPr="00551203">
              <w:rPr>
                <w:rFonts w:ascii="標楷體" w:eastAsia="標楷體" w:hAnsi="標楷體" w:hint="eastAsia"/>
                <w:u w:val="single"/>
              </w:rPr>
              <w:t>：</w:t>
            </w:r>
          </w:p>
          <w:p w:rsidR="00E17ECC" w:rsidRDefault="00551203">
            <w:pPr>
              <w:pStyle w:val="a8"/>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u w:val="single"/>
              </w:rPr>
            </w:pPr>
            <w:r w:rsidRPr="00551203">
              <w:rPr>
                <w:rFonts w:ascii="標楷體" w:eastAsia="標楷體" w:hAnsi="標楷體" w:hint="eastAsia"/>
                <w:u w:val="single"/>
              </w:rPr>
              <w:t>規避或拒絕檢查之事實，合於本公司營業細則第一百四十一條第一項第二款、第四款、第五款及第六款所定情事之一，且未於暫停買賣之日起</w:t>
            </w:r>
            <w:proofErr w:type="gramStart"/>
            <w:r w:rsidRPr="00551203">
              <w:rPr>
                <w:rFonts w:ascii="標楷體" w:eastAsia="標楷體" w:hAnsi="標楷體" w:hint="eastAsia"/>
                <w:u w:val="single"/>
              </w:rPr>
              <w:t>一週</w:t>
            </w:r>
            <w:proofErr w:type="gramEnd"/>
            <w:r w:rsidRPr="00551203">
              <w:rPr>
                <w:rFonts w:ascii="標楷體" w:eastAsia="標楷體" w:hAnsi="標楷體" w:hint="eastAsia"/>
                <w:u w:val="single"/>
              </w:rPr>
              <w:t>內提示相關</w:t>
            </w:r>
            <w:proofErr w:type="gramStart"/>
            <w:r w:rsidRPr="00551203">
              <w:rPr>
                <w:rFonts w:ascii="標楷體" w:eastAsia="標楷體" w:hAnsi="標楷體" w:hint="eastAsia"/>
                <w:u w:val="single"/>
              </w:rPr>
              <w:t>帳冊</w:t>
            </w:r>
            <w:proofErr w:type="gramEnd"/>
            <w:r w:rsidRPr="00551203">
              <w:rPr>
                <w:rFonts w:ascii="標楷體" w:eastAsia="標楷體" w:hAnsi="標楷體" w:hint="eastAsia"/>
                <w:u w:val="single"/>
              </w:rPr>
              <w:t>、憑證等資料者。</w:t>
            </w:r>
          </w:p>
          <w:p w:rsidR="00E17ECC" w:rsidRDefault="00CB7A33">
            <w:pPr>
              <w:pStyle w:val="a8"/>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rPr>
            </w:pPr>
            <w:r w:rsidRPr="00BB23CF">
              <w:rPr>
                <w:rFonts w:ascii="標楷體" w:eastAsia="標楷體" w:hAnsi="標楷體" w:hint="eastAsia"/>
                <w:u w:val="single"/>
              </w:rPr>
              <w:t>規避或拒絕</w:t>
            </w:r>
            <w:r>
              <w:rPr>
                <w:rFonts w:ascii="標楷體" w:eastAsia="標楷體" w:hAnsi="標楷體" w:hint="eastAsia"/>
                <w:u w:val="single"/>
              </w:rPr>
              <w:t>檢查之事實，為前款</w:t>
            </w:r>
            <w:r w:rsidRPr="00BB23CF">
              <w:rPr>
                <w:rFonts w:ascii="標楷體" w:eastAsia="標楷體" w:hAnsi="標楷體" w:hint="eastAsia"/>
                <w:u w:val="single"/>
              </w:rPr>
              <w:t>以外之</w:t>
            </w:r>
            <w:r w:rsidRPr="00BB23CF">
              <w:rPr>
                <w:rFonts w:ascii="標楷體" w:eastAsia="標楷體" w:hAnsi="標楷體" w:hint="eastAsia"/>
                <w:u w:val="single"/>
              </w:rPr>
              <w:lastRenderedPageBreak/>
              <w:t>情事，而未於</w:t>
            </w:r>
            <w:r w:rsidRPr="00BB23CF">
              <w:rPr>
                <w:rFonts w:ascii="標楷體" w:eastAsia="標楷體" w:hAnsi="標楷體"/>
                <w:u w:val="single"/>
              </w:rPr>
              <w:t>暫停買賣之日起二</w:t>
            </w:r>
            <w:proofErr w:type="gramStart"/>
            <w:r w:rsidRPr="00BB23CF">
              <w:rPr>
                <w:rFonts w:ascii="標楷體" w:eastAsia="標楷體" w:hAnsi="標楷體"/>
                <w:u w:val="single"/>
              </w:rPr>
              <w:t>週</w:t>
            </w:r>
            <w:proofErr w:type="gramEnd"/>
            <w:r w:rsidRPr="00BB23CF">
              <w:rPr>
                <w:rFonts w:ascii="標楷體" w:eastAsia="標楷體" w:hAnsi="標楷體"/>
                <w:u w:val="single"/>
              </w:rPr>
              <w:t>內</w:t>
            </w:r>
            <w:r w:rsidRPr="00BB23CF">
              <w:rPr>
                <w:rFonts w:ascii="標楷體" w:eastAsia="標楷體" w:hAnsi="標楷體" w:hint="eastAsia"/>
                <w:u w:val="single"/>
              </w:rPr>
              <w:t>提示</w:t>
            </w:r>
            <w:r w:rsidRPr="00BB23CF">
              <w:rPr>
                <w:rFonts w:ascii="標楷體" w:eastAsia="標楷體" w:hAnsi="標楷體"/>
                <w:u w:val="single"/>
              </w:rPr>
              <w:t>相關</w:t>
            </w:r>
            <w:proofErr w:type="gramStart"/>
            <w:r w:rsidRPr="00BB23CF">
              <w:rPr>
                <w:rFonts w:ascii="標楷體" w:eastAsia="標楷體" w:hAnsi="標楷體"/>
                <w:u w:val="single"/>
              </w:rPr>
              <w:t>帳冊</w:t>
            </w:r>
            <w:proofErr w:type="gramEnd"/>
            <w:r w:rsidRPr="00BB23CF">
              <w:rPr>
                <w:rFonts w:ascii="標楷體" w:eastAsia="標楷體" w:hAnsi="標楷體"/>
                <w:u w:val="single"/>
              </w:rPr>
              <w:t>、憑證</w:t>
            </w:r>
            <w:r w:rsidRPr="00BB23CF">
              <w:rPr>
                <w:rFonts w:ascii="標楷體" w:eastAsia="標楷體" w:hAnsi="標楷體" w:hint="eastAsia"/>
                <w:u w:val="single"/>
              </w:rPr>
              <w:t>等</w:t>
            </w:r>
            <w:r w:rsidRPr="00BB23CF">
              <w:rPr>
                <w:rFonts w:ascii="標楷體" w:eastAsia="標楷體" w:hAnsi="標楷體"/>
                <w:u w:val="single"/>
              </w:rPr>
              <w:t>資料者</w:t>
            </w:r>
            <w:r>
              <w:rPr>
                <w:rFonts w:ascii="標楷體" w:eastAsia="標楷體" w:hAnsi="標楷體" w:hint="eastAsia"/>
                <w:u w:val="single"/>
              </w:rPr>
              <w:t>。</w:t>
            </w:r>
          </w:p>
        </w:tc>
        <w:tc>
          <w:tcPr>
            <w:tcW w:w="2787" w:type="dxa"/>
          </w:tcPr>
          <w:p w:rsidR="00E17ECC" w:rsidRDefault="006B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lastRenderedPageBreak/>
              <w:t>六、</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551203">
              <w:rPr>
                <w:rFonts w:ascii="標楷體" w:eastAsia="標楷體" w:hAnsi="標楷體" w:hint="eastAsia"/>
              </w:rPr>
              <w:t>依第五項規定暫停其買賣之證券商，如其規避或拒絕檢查之事實，合於本公司營業細則第一百四十一條第二款、第四款、第五款或第六款情事之</w:t>
            </w:r>
            <w:proofErr w:type="gramStart"/>
            <w:r w:rsidRPr="00551203">
              <w:rPr>
                <w:rFonts w:ascii="標楷體" w:eastAsia="標楷體" w:hAnsi="標楷體" w:hint="eastAsia"/>
              </w:rPr>
              <w:t>一</w:t>
            </w:r>
            <w:proofErr w:type="gramEnd"/>
            <w:r w:rsidRPr="00551203">
              <w:rPr>
                <w:rFonts w:ascii="標楷體" w:eastAsia="標楷體" w:hAnsi="標楷體" w:hint="eastAsia"/>
              </w:rPr>
              <w:t>者，且自其暫停買賣之日起</w:t>
            </w:r>
            <w:proofErr w:type="gramStart"/>
            <w:r w:rsidRPr="00551203">
              <w:rPr>
                <w:rFonts w:ascii="標楷體" w:eastAsia="標楷體" w:hAnsi="標楷體" w:hint="eastAsia"/>
              </w:rPr>
              <w:t>一週</w:t>
            </w:r>
            <w:proofErr w:type="gramEnd"/>
            <w:r w:rsidRPr="00551203">
              <w:rPr>
                <w:rFonts w:ascii="標楷體" w:eastAsia="標楷體" w:hAnsi="標楷體" w:hint="eastAsia"/>
              </w:rPr>
              <w:t>內仍未將其相關</w:t>
            </w:r>
            <w:proofErr w:type="gramStart"/>
            <w:r w:rsidRPr="00551203">
              <w:rPr>
                <w:rFonts w:ascii="標楷體" w:eastAsia="標楷體" w:hAnsi="標楷體" w:hint="eastAsia"/>
              </w:rPr>
              <w:t>帳冊</w:t>
            </w:r>
            <w:proofErr w:type="gramEnd"/>
            <w:r w:rsidRPr="00551203">
              <w:rPr>
                <w:rFonts w:ascii="標楷體" w:eastAsia="標楷體" w:hAnsi="標楷體" w:hint="eastAsia"/>
              </w:rPr>
              <w:t>、憑證、資料等提示者，視為其有各該款之情事，得依上開規定終止其使用市場契約。</w:t>
            </w:r>
          </w:p>
          <w:p w:rsidR="00551203" w:rsidRPr="00551203" w:rsidRDefault="00551203" w:rsidP="00551203">
            <w:pPr>
              <w:adjustRightInd w:val="0"/>
              <w:snapToGrid w:val="0"/>
              <w:jc w:val="center"/>
              <w:rPr>
                <w:rFonts w:ascii="標楷體" w:eastAsia="標楷體" w:hAnsi="標楷體"/>
              </w:rPr>
            </w:pPr>
          </w:p>
        </w:tc>
        <w:tc>
          <w:tcPr>
            <w:tcW w:w="2788" w:type="dxa"/>
          </w:tcPr>
          <w:p w:rsidR="00551203" w:rsidRDefault="006B3D64" w:rsidP="00551203">
            <w:pPr>
              <w:pStyle w:val="a8"/>
              <w:numPr>
                <w:ilvl w:val="0"/>
                <w:numId w:val="6"/>
              </w:numPr>
              <w:adjustRightInd w:val="0"/>
              <w:snapToGrid w:val="0"/>
              <w:spacing w:line="360" w:lineRule="exact"/>
              <w:ind w:leftChars="0" w:left="482" w:hanging="482"/>
              <w:rPr>
                <w:rFonts w:ascii="標楷體" w:eastAsia="標楷體" w:hAnsi="標楷體"/>
                <w:color w:val="000000"/>
              </w:rPr>
            </w:pPr>
            <w:r>
              <w:rPr>
                <w:rFonts w:ascii="標楷體" w:eastAsia="標楷體" w:hAnsi="標楷體" w:hint="eastAsia"/>
                <w:color w:val="000000"/>
              </w:rPr>
              <w:t>調整規章條次體例。</w:t>
            </w:r>
          </w:p>
          <w:p w:rsidR="00551203" w:rsidRPr="00551203" w:rsidRDefault="006151D2" w:rsidP="00551203">
            <w:pPr>
              <w:pStyle w:val="a8"/>
              <w:numPr>
                <w:ilvl w:val="0"/>
                <w:numId w:val="6"/>
              </w:numPr>
              <w:adjustRightInd w:val="0"/>
              <w:snapToGrid w:val="0"/>
              <w:spacing w:line="360" w:lineRule="exact"/>
              <w:ind w:leftChars="0" w:left="482" w:hanging="482"/>
              <w:rPr>
                <w:rFonts w:ascii="標楷體" w:eastAsia="標楷體" w:hAnsi="標楷體"/>
                <w:color w:val="000000"/>
              </w:rPr>
            </w:pPr>
            <w:r>
              <w:rPr>
                <w:rFonts w:ascii="標楷體" w:eastAsia="標楷體" w:hAnsi="標楷體" w:hint="eastAsia"/>
                <w:color w:val="000000"/>
              </w:rPr>
              <w:t>考量條文結構，</w:t>
            </w:r>
            <w:proofErr w:type="gramStart"/>
            <w:r>
              <w:rPr>
                <w:rFonts w:ascii="標楷體" w:eastAsia="標楷體" w:hAnsi="標楷體" w:hint="eastAsia"/>
                <w:color w:val="000000"/>
              </w:rPr>
              <w:t>爰</w:t>
            </w:r>
            <w:proofErr w:type="gramEnd"/>
            <w:r>
              <w:rPr>
                <w:rFonts w:ascii="標楷體" w:eastAsia="標楷體" w:hAnsi="標楷體" w:hint="eastAsia"/>
                <w:color w:val="000000"/>
              </w:rPr>
              <w:t>合併終止使用市場契約</w:t>
            </w:r>
            <w:r w:rsidR="00EA20B1">
              <w:rPr>
                <w:rFonts w:ascii="標楷體" w:eastAsia="標楷體" w:hAnsi="標楷體" w:hint="eastAsia"/>
                <w:color w:val="000000"/>
              </w:rPr>
              <w:t>規範</w:t>
            </w:r>
            <w:r>
              <w:rPr>
                <w:rFonts w:ascii="標楷體" w:eastAsia="標楷體" w:hAnsi="標楷體" w:hint="eastAsia"/>
                <w:color w:val="000000"/>
              </w:rPr>
              <w:t>之條文</w:t>
            </w:r>
            <w:r w:rsidR="00EA20B1">
              <w:rPr>
                <w:rFonts w:ascii="標楷體" w:eastAsia="標楷體" w:hAnsi="標楷體" w:hint="eastAsia"/>
                <w:color w:val="000000"/>
              </w:rPr>
              <w:t>，分別訂於本條第一款及第二款</w:t>
            </w:r>
            <w:r w:rsidR="006B3D64">
              <w:rPr>
                <w:rFonts w:ascii="標楷體" w:eastAsia="標楷體" w:hAnsi="標楷體" w:hint="eastAsia"/>
                <w:color w:val="000000"/>
              </w:rPr>
              <w:t>。</w:t>
            </w:r>
          </w:p>
        </w:tc>
      </w:tr>
      <w:tr w:rsidR="004116CF" w:rsidRPr="003D1041" w:rsidTr="0098166B">
        <w:trPr>
          <w:trHeight w:val="3456"/>
        </w:trPr>
        <w:tc>
          <w:tcPr>
            <w:tcW w:w="2787" w:type="dxa"/>
            <w:tcBorders>
              <w:bottom w:val="single" w:sz="4" w:space="0" w:color="auto"/>
            </w:tcBorders>
          </w:tcPr>
          <w:p w:rsidR="00EB3EDF" w:rsidRPr="006151D2" w:rsidRDefault="00551203" w:rsidP="006B3D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551203">
              <w:rPr>
                <w:rFonts w:ascii="標楷體" w:eastAsia="標楷體" w:hAnsi="標楷體" w:cs="細明體" w:hint="eastAsia"/>
                <w:color w:val="000000"/>
                <w:kern w:val="0"/>
                <w:szCs w:val="24"/>
              </w:rPr>
              <w:lastRenderedPageBreak/>
              <w:t>（刪除）</w:t>
            </w:r>
          </w:p>
        </w:tc>
        <w:tc>
          <w:tcPr>
            <w:tcW w:w="2787" w:type="dxa"/>
            <w:tcBorders>
              <w:bottom w:val="single" w:sz="4" w:space="0" w:color="auto"/>
            </w:tcBorders>
          </w:tcPr>
          <w:p w:rsidR="00A015A2" w:rsidRPr="00694B43" w:rsidRDefault="0011262E" w:rsidP="00797E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3D1041">
              <w:rPr>
                <w:rFonts w:ascii="標楷體" w:eastAsia="標楷體" w:hAnsi="標楷體" w:cs="細明體" w:hint="eastAsia"/>
                <w:color w:val="000000"/>
                <w:kern w:val="0"/>
                <w:szCs w:val="24"/>
              </w:rPr>
              <w:t>七</w:t>
            </w:r>
            <w:r w:rsidR="007C0C53" w:rsidRPr="003D1041">
              <w:rPr>
                <w:rFonts w:ascii="標楷體" w:eastAsia="標楷體" w:hAnsi="標楷體" w:cs="細明體" w:hint="eastAsia"/>
                <w:color w:val="000000"/>
                <w:kern w:val="0"/>
                <w:szCs w:val="24"/>
              </w:rPr>
              <w:t>、</w:t>
            </w:r>
          </w:p>
          <w:p w:rsidR="00551203" w:rsidRPr="00551203" w:rsidRDefault="00551203" w:rsidP="00551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551203">
              <w:rPr>
                <w:rFonts w:ascii="標楷體" w:eastAsia="標楷體" w:hAnsi="標楷體"/>
              </w:rPr>
              <w:t>依第五項暫停其買賣之證券商雖無第六項所定情事，惟自暫停買賣之日起二</w:t>
            </w:r>
            <w:proofErr w:type="gramStart"/>
            <w:r w:rsidRPr="00551203">
              <w:rPr>
                <w:rFonts w:ascii="標楷體" w:eastAsia="標楷體" w:hAnsi="標楷體"/>
              </w:rPr>
              <w:t>週</w:t>
            </w:r>
            <w:proofErr w:type="gramEnd"/>
            <w:r w:rsidRPr="00551203">
              <w:rPr>
                <w:rFonts w:ascii="標楷體" w:eastAsia="標楷體" w:hAnsi="標楷體"/>
              </w:rPr>
              <w:t>內，仍未將其相關</w:t>
            </w:r>
            <w:proofErr w:type="gramStart"/>
            <w:r w:rsidRPr="00551203">
              <w:rPr>
                <w:rFonts w:ascii="標楷體" w:eastAsia="標楷體" w:hAnsi="標楷體"/>
              </w:rPr>
              <w:t>帳冊</w:t>
            </w:r>
            <w:proofErr w:type="gramEnd"/>
            <w:r w:rsidRPr="00551203">
              <w:rPr>
                <w:rFonts w:ascii="標楷體" w:eastAsia="標楷體" w:hAnsi="標楷體"/>
              </w:rPr>
              <w:t>、憑證、資料等提示者，得依本公司</w:t>
            </w:r>
            <w:r w:rsidRPr="00551203">
              <w:rPr>
                <w:rFonts w:ascii="標楷體" w:eastAsia="標楷體" w:hAnsi="標楷體"/>
                <w:u w:val="single"/>
              </w:rPr>
              <w:t>章程第三十八條第一項第二款</w:t>
            </w:r>
            <w:r w:rsidRPr="00551203">
              <w:rPr>
                <w:rFonts w:ascii="標楷體" w:eastAsia="標楷體" w:hAnsi="標楷體"/>
              </w:rPr>
              <w:t>之規定，終止其使用市場契約。</w:t>
            </w:r>
          </w:p>
        </w:tc>
        <w:tc>
          <w:tcPr>
            <w:tcW w:w="2788" w:type="dxa"/>
            <w:tcBorders>
              <w:bottom w:val="single" w:sz="4" w:space="0" w:color="auto"/>
            </w:tcBorders>
          </w:tcPr>
          <w:p w:rsidR="00F96B61" w:rsidRPr="00464673" w:rsidRDefault="00464673" w:rsidP="00464673">
            <w:pPr>
              <w:pStyle w:val="HTML"/>
              <w:jc w:val="both"/>
              <w:rPr>
                <w:rFonts w:ascii="標楷體" w:eastAsia="標楷體" w:hAnsi="標楷體"/>
                <w:color w:val="000000"/>
              </w:rPr>
            </w:pPr>
            <w:r>
              <w:rPr>
                <w:rFonts w:ascii="標楷體" w:eastAsia="標楷體" w:hAnsi="標楷體" w:hint="eastAsia"/>
                <w:color w:val="000000"/>
              </w:rPr>
              <w:t>本條規定併入前條第二款，</w:t>
            </w:r>
            <w:proofErr w:type="gramStart"/>
            <w:r>
              <w:rPr>
                <w:rFonts w:ascii="標楷體" w:eastAsia="標楷體" w:hAnsi="標楷體" w:hint="eastAsia"/>
                <w:color w:val="000000"/>
              </w:rPr>
              <w:t>爰</w:t>
            </w:r>
            <w:proofErr w:type="gramEnd"/>
            <w:r>
              <w:rPr>
                <w:rFonts w:ascii="標楷體" w:eastAsia="標楷體" w:hAnsi="標楷體" w:hint="eastAsia"/>
                <w:color w:val="000000"/>
              </w:rPr>
              <w:t>刪除之</w:t>
            </w:r>
            <w:r w:rsidR="006B3D64">
              <w:rPr>
                <w:rFonts w:ascii="標楷體" w:eastAsia="標楷體" w:hAnsi="標楷體" w:hint="eastAsia"/>
                <w:color w:val="000000"/>
              </w:rPr>
              <w:t>。</w:t>
            </w:r>
          </w:p>
        </w:tc>
      </w:tr>
      <w:tr w:rsidR="0098166B" w:rsidRPr="003D1041" w:rsidTr="0071723C">
        <w:trPr>
          <w:trHeight w:val="1653"/>
        </w:trPr>
        <w:tc>
          <w:tcPr>
            <w:tcW w:w="2787" w:type="dxa"/>
            <w:tcBorders>
              <w:top w:val="single" w:sz="4" w:space="0" w:color="auto"/>
              <w:bottom w:val="single" w:sz="4" w:space="0" w:color="auto"/>
            </w:tcBorders>
          </w:tcPr>
          <w:p w:rsidR="00797E96" w:rsidRDefault="00551203" w:rsidP="00797E96">
            <w:pPr>
              <w:rPr>
                <w:rFonts w:ascii="標楷體" w:eastAsia="標楷體" w:hAnsi="標楷體"/>
                <w:color w:val="000000"/>
              </w:rPr>
            </w:pPr>
            <w:r w:rsidRPr="00551203">
              <w:rPr>
                <w:rFonts w:ascii="標楷體" w:eastAsia="標楷體" w:hAnsi="標楷體" w:hint="eastAsia"/>
                <w:color w:val="000000"/>
                <w:u w:val="single"/>
              </w:rPr>
              <w:t>第</w:t>
            </w:r>
            <w:r w:rsidR="00242F6E">
              <w:rPr>
                <w:rFonts w:ascii="標楷體" w:eastAsia="標楷體" w:hAnsi="標楷體" w:hint="eastAsia"/>
                <w:color w:val="000000"/>
                <w:u w:val="single"/>
              </w:rPr>
              <w:t>六</w:t>
            </w:r>
            <w:r w:rsidRPr="00551203">
              <w:rPr>
                <w:rFonts w:ascii="標楷體" w:eastAsia="標楷體" w:hAnsi="標楷體" w:hint="eastAsia"/>
                <w:color w:val="000000"/>
                <w:u w:val="single"/>
              </w:rPr>
              <w:t>條</w:t>
            </w:r>
          </w:p>
          <w:p w:rsidR="00F96B61" w:rsidRDefault="0098166B">
            <w:pPr>
              <w:rPr>
                <w:rFonts w:ascii="標楷體" w:eastAsia="標楷體" w:hAnsi="標楷體" w:cs="細明體"/>
                <w:color w:val="000000"/>
                <w:kern w:val="0"/>
                <w:szCs w:val="24"/>
              </w:rPr>
            </w:pPr>
            <w:r w:rsidRPr="003D1041">
              <w:rPr>
                <w:rFonts w:ascii="標楷體" w:eastAsia="標楷體" w:hAnsi="標楷體" w:cs="細明體"/>
                <w:color w:val="000000"/>
                <w:kern w:val="0"/>
                <w:szCs w:val="24"/>
              </w:rPr>
              <w:t>本認定標準及處理程序未</w:t>
            </w:r>
            <w:r w:rsidR="00551203" w:rsidRPr="00551203">
              <w:rPr>
                <w:rFonts w:ascii="標楷體" w:eastAsia="標楷體" w:hAnsi="標楷體" w:cs="細明體" w:hint="eastAsia"/>
                <w:color w:val="000000"/>
                <w:kern w:val="0"/>
                <w:szCs w:val="24"/>
                <w:u w:val="single"/>
              </w:rPr>
              <w:t>規定者，</w:t>
            </w:r>
            <w:r w:rsidRPr="003D1041">
              <w:rPr>
                <w:rFonts w:ascii="標楷體" w:eastAsia="標楷體" w:hAnsi="標楷體" w:cs="細明體"/>
                <w:color w:val="000000"/>
                <w:kern w:val="0"/>
                <w:szCs w:val="24"/>
              </w:rPr>
              <w:t>依有關法令、本公司</w:t>
            </w:r>
            <w:r w:rsidR="00551203" w:rsidRPr="00551203">
              <w:rPr>
                <w:rFonts w:ascii="標楷體" w:eastAsia="標楷體" w:hAnsi="標楷體" w:cs="細明體" w:hint="eastAsia"/>
                <w:color w:val="000000"/>
                <w:kern w:val="0"/>
                <w:szCs w:val="24"/>
                <w:u w:val="single"/>
              </w:rPr>
              <w:t>其他</w:t>
            </w:r>
            <w:r w:rsidR="00BA6413" w:rsidRPr="00BA6413">
              <w:rPr>
                <w:rFonts w:ascii="標楷體" w:eastAsia="標楷體" w:hAnsi="標楷體" w:cs="細明體"/>
                <w:color w:val="000000"/>
                <w:kern w:val="0"/>
                <w:szCs w:val="24"/>
              </w:rPr>
              <w:t>章則</w:t>
            </w:r>
            <w:r w:rsidRPr="003D1041">
              <w:rPr>
                <w:rFonts w:ascii="標楷體" w:eastAsia="標楷體" w:hAnsi="標楷體" w:cs="細明體"/>
                <w:color w:val="000000"/>
                <w:kern w:val="0"/>
                <w:szCs w:val="24"/>
              </w:rPr>
              <w:t>及公告</w:t>
            </w:r>
            <w:r w:rsidR="00551203" w:rsidRPr="00551203">
              <w:rPr>
                <w:rFonts w:ascii="標楷體" w:eastAsia="標楷體" w:hAnsi="標楷體" w:cs="細明體" w:hint="eastAsia"/>
                <w:color w:val="000000"/>
                <w:kern w:val="0"/>
                <w:szCs w:val="24"/>
                <w:u w:val="single"/>
              </w:rPr>
              <w:t>辦理</w:t>
            </w:r>
            <w:r w:rsidRPr="003D1041">
              <w:rPr>
                <w:rFonts w:ascii="標楷體" w:eastAsia="標楷體" w:hAnsi="標楷體" w:cs="新細明體"/>
                <w:color w:val="000000"/>
                <w:kern w:val="0"/>
                <w:szCs w:val="24"/>
              </w:rPr>
              <w:t>。</w:t>
            </w:r>
          </w:p>
        </w:tc>
        <w:tc>
          <w:tcPr>
            <w:tcW w:w="2787" w:type="dxa"/>
            <w:tcBorders>
              <w:top w:val="single" w:sz="4" w:space="0" w:color="auto"/>
              <w:bottom w:val="single" w:sz="4" w:space="0" w:color="auto"/>
            </w:tcBorders>
          </w:tcPr>
          <w:p w:rsidR="00F96B61" w:rsidRDefault="00981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r w:rsidRPr="003D1041">
              <w:rPr>
                <w:rFonts w:ascii="標楷體" w:eastAsia="標楷體" w:hAnsi="標楷體" w:hint="eastAsia"/>
                <w:color w:val="000000"/>
              </w:rPr>
              <w:t>八、</w:t>
            </w:r>
          </w:p>
          <w:p w:rsidR="00F96B61" w:rsidRDefault="0098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3D1041">
              <w:rPr>
                <w:rFonts w:ascii="標楷體" w:eastAsia="標楷體" w:hAnsi="標楷體" w:cs="細明體"/>
                <w:color w:val="000000"/>
                <w:kern w:val="0"/>
                <w:szCs w:val="24"/>
              </w:rPr>
              <w:t>本認定標準及處理程序未盡事項依有關法令、本公司</w:t>
            </w:r>
            <w:r w:rsidR="00551203" w:rsidRPr="00551203">
              <w:rPr>
                <w:rFonts w:ascii="標楷體" w:eastAsia="標楷體" w:hAnsi="標楷體" w:cs="細明體"/>
                <w:color w:val="000000"/>
                <w:kern w:val="0"/>
                <w:szCs w:val="24"/>
              </w:rPr>
              <w:t>章則</w:t>
            </w:r>
            <w:r w:rsidRPr="003D1041">
              <w:rPr>
                <w:rFonts w:ascii="標楷體" w:eastAsia="標楷體" w:hAnsi="標楷體" w:cs="細明體"/>
                <w:color w:val="000000"/>
                <w:kern w:val="0"/>
                <w:szCs w:val="24"/>
              </w:rPr>
              <w:t>及公告之規</w:t>
            </w:r>
            <w:r w:rsidRPr="003D1041">
              <w:rPr>
                <w:rFonts w:ascii="標楷體" w:eastAsia="標楷體" w:hAnsi="標楷體" w:cs="新細明體"/>
                <w:color w:val="000000"/>
                <w:kern w:val="0"/>
                <w:szCs w:val="24"/>
              </w:rPr>
              <w:t>定。</w:t>
            </w:r>
          </w:p>
        </w:tc>
        <w:tc>
          <w:tcPr>
            <w:tcW w:w="2788" w:type="dxa"/>
            <w:tcBorders>
              <w:top w:val="single" w:sz="4" w:space="0" w:color="auto"/>
              <w:bottom w:val="single" w:sz="4" w:space="0" w:color="auto"/>
            </w:tcBorders>
          </w:tcPr>
          <w:p w:rsidR="00551203" w:rsidRDefault="00D9489D" w:rsidP="00551203">
            <w:pPr>
              <w:pStyle w:val="HTML"/>
              <w:numPr>
                <w:ilvl w:val="0"/>
                <w:numId w:val="14"/>
              </w:numPr>
              <w:jc w:val="both"/>
              <w:rPr>
                <w:rFonts w:ascii="標楷體" w:eastAsia="標楷體" w:hAnsi="標楷體"/>
                <w:color w:val="000000"/>
              </w:rPr>
            </w:pPr>
            <w:r>
              <w:rPr>
                <w:rFonts w:ascii="標楷體" w:eastAsia="標楷體" w:hAnsi="標楷體" w:hint="eastAsia"/>
                <w:color w:val="000000"/>
              </w:rPr>
              <w:t>調整規章條次體例。</w:t>
            </w:r>
          </w:p>
          <w:p w:rsidR="00551203" w:rsidRDefault="00BB23CF" w:rsidP="00551203">
            <w:pPr>
              <w:pStyle w:val="HTML"/>
              <w:numPr>
                <w:ilvl w:val="0"/>
                <w:numId w:val="14"/>
              </w:numPr>
              <w:jc w:val="both"/>
              <w:rPr>
                <w:rFonts w:ascii="標楷體" w:eastAsia="標楷體" w:hAnsi="標楷體"/>
                <w:color w:val="000000"/>
              </w:rPr>
            </w:pPr>
            <w:r w:rsidRPr="00880476">
              <w:rPr>
                <w:rFonts w:ascii="標楷體" w:eastAsia="標楷體" w:hAnsi="標楷體" w:hint="eastAsia"/>
                <w:color w:val="000000"/>
              </w:rPr>
              <w:t>證券交易所管理規則第二十二條</w:t>
            </w:r>
            <w:r w:rsidR="00551203" w:rsidRPr="00551203">
              <w:rPr>
                <w:rFonts w:ascii="標楷體" w:eastAsia="標楷體" w:hAnsi="標楷體" w:hint="eastAsia"/>
                <w:color w:val="000000"/>
              </w:rPr>
              <w:t>第二項（有關法令）、本公司查核證券商作業辦法第三條、</w:t>
            </w:r>
            <w:hyperlink r:id="rId7" w:history="1">
              <w:r w:rsidR="00551203" w:rsidRPr="00551203">
                <w:rPr>
                  <w:rFonts w:ascii="標楷體" w:eastAsia="標楷體" w:hAnsi="標楷體" w:hint="eastAsia"/>
                  <w:color w:val="000000"/>
                </w:rPr>
                <w:t>證券商及證券交易輔助人營業處所場地及設備標準</w:t>
              </w:r>
            </w:hyperlink>
            <w:r w:rsidR="00880476">
              <w:rPr>
                <w:rFonts w:ascii="標楷體" w:eastAsia="標楷體" w:hAnsi="標楷體" w:hint="eastAsia"/>
                <w:color w:val="000000"/>
              </w:rPr>
              <w:t>第五點</w:t>
            </w:r>
            <w:r w:rsidR="00551203" w:rsidRPr="00551203">
              <w:rPr>
                <w:rFonts w:ascii="標楷體" w:eastAsia="標楷體" w:hAnsi="標楷體" w:hint="eastAsia"/>
                <w:color w:val="000000"/>
              </w:rPr>
              <w:t>（本公司章則），亦有不得拒絕檢查之規範，為求規範明確周延，</w:t>
            </w:r>
            <w:proofErr w:type="gramStart"/>
            <w:r w:rsidR="00551203" w:rsidRPr="00551203">
              <w:rPr>
                <w:rFonts w:ascii="標楷體" w:eastAsia="標楷體" w:hAnsi="標楷體" w:hint="eastAsia"/>
                <w:color w:val="000000"/>
              </w:rPr>
              <w:t>爰</w:t>
            </w:r>
            <w:proofErr w:type="gramEnd"/>
            <w:r w:rsidR="00551203" w:rsidRPr="00551203">
              <w:rPr>
                <w:rFonts w:ascii="標楷體" w:eastAsia="標楷體" w:hAnsi="標楷體" w:hint="eastAsia"/>
                <w:color w:val="000000"/>
              </w:rPr>
              <w:t>修正之。</w:t>
            </w:r>
          </w:p>
        </w:tc>
      </w:tr>
      <w:tr w:rsidR="004A5911" w:rsidRPr="003D1041" w:rsidTr="00C27D0E">
        <w:trPr>
          <w:trHeight w:val="1690"/>
        </w:trPr>
        <w:tc>
          <w:tcPr>
            <w:tcW w:w="2787" w:type="dxa"/>
            <w:tcBorders>
              <w:top w:val="single" w:sz="4" w:space="0" w:color="auto"/>
            </w:tcBorders>
          </w:tcPr>
          <w:p w:rsidR="004A5911" w:rsidRDefault="00F96B61" w:rsidP="00797E96">
            <w:pPr>
              <w:rPr>
                <w:rFonts w:ascii="標楷體" w:eastAsia="標楷體" w:hAnsi="標楷體"/>
                <w:color w:val="000000"/>
              </w:rPr>
            </w:pPr>
            <w:r>
              <w:rPr>
                <w:rFonts w:ascii="標楷體" w:eastAsia="標楷體" w:hAnsi="標楷體" w:hint="eastAsia"/>
                <w:color w:val="000000"/>
                <w:u w:val="single"/>
              </w:rPr>
              <w:t>第</w:t>
            </w:r>
            <w:r w:rsidR="00242F6E">
              <w:rPr>
                <w:rFonts w:ascii="標楷體" w:eastAsia="標楷體" w:hAnsi="標楷體" w:hint="eastAsia"/>
                <w:color w:val="000000"/>
                <w:u w:val="single"/>
              </w:rPr>
              <w:t>七</w:t>
            </w:r>
            <w:r>
              <w:rPr>
                <w:rFonts w:ascii="標楷體" w:eastAsia="標楷體" w:hAnsi="標楷體" w:hint="eastAsia"/>
                <w:color w:val="000000"/>
                <w:u w:val="single"/>
              </w:rPr>
              <w:t>條</w:t>
            </w:r>
          </w:p>
          <w:p w:rsidR="002A00A0" w:rsidRDefault="002A00A0" w:rsidP="00797E96">
            <w:pPr>
              <w:rPr>
                <w:rFonts w:ascii="標楷體" w:eastAsia="標楷體" w:hAnsi="標楷體"/>
                <w:color w:val="000000"/>
              </w:rPr>
            </w:pPr>
            <w:r w:rsidRPr="00076757">
              <w:rPr>
                <w:rFonts w:ascii="標楷體" w:eastAsia="標楷體" w:hAnsi="標楷體" w:cs="細明體" w:hint="eastAsia"/>
                <w:color w:val="000000"/>
                <w:kern w:val="0"/>
                <w:szCs w:val="24"/>
              </w:rPr>
              <w:t>本認定標準及處理程序報奉主管機關核定後公告實施。</w:t>
            </w:r>
          </w:p>
        </w:tc>
        <w:tc>
          <w:tcPr>
            <w:tcW w:w="2787" w:type="dxa"/>
            <w:tcBorders>
              <w:top w:val="single" w:sz="4" w:space="0" w:color="auto"/>
            </w:tcBorders>
          </w:tcPr>
          <w:p w:rsidR="00E17ECC" w:rsidRDefault="006B1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Pr>
                <w:rFonts w:ascii="標楷體" w:eastAsia="標楷體" w:hAnsi="標楷體" w:cs="細明體" w:hint="eastAsia"/>
                <w:color w:val="000000"/>
                <w:kern w:val="0"/>
                <w:szCs w:val="24"/>
              </w:rPr>
              <w:t>九、</w:t>
            </w:r>
          </w:p>
          <w:p w:rsidR="00551203" w:rsidRPr="00551203" w:rsidRDefault="00551203" w:rsidP="0055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551203">
              <w:rPr>
                <w:rFonts w:ascii="標楷體" w:eastAsia="標楷體" w:hAnsi="標楷體" w:cs="細明體" w:hint="eastAsia"/>
                <w:color w:val="000000"/>
                <w:kern w:val="0"/>
                <w:szCs w:val="24"/>
              </w:rPr>
              <w:t>本認定標準及處理程序報奉主管機關核定後公告實施。</w:t>
            </w:r>
          </w:p>
          <w:p w:rsidR="004A5911" w:rsidRPr="004A5911" w:rsidRDefault="004A5911" w:rsidP="00797E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tc>
        <w:tc>
          <w:tcPr>
            <w:tcW w:w="2788" w:type="dxa"/>
            <w:tcBorders>
              <w:top w:val="single" w:sz="4" w:space="0" w:color="auto"/>
            </w:tcBorders>
          </w:tcPr>
          <w:p w:rsidR="004A5911" w:rsidRPr="003D1041" w:rsidRDefault="00D9489D" w:rsidP="0071723C">
            <w:pPr>
              <w:pStyle w:val="HTML"/>
              <w:jc w:val="both"/>
              <w:rPr>
                <w:rFonts w:ascii="標楷體" w:eastAsia="標楷體" w:hAnsi="標楷體"/>
                <w:color w:val="000000"/>
              </w:rPr>
            </w:pPr>
            <w:r>
              <w:rPr>
                <w:rFonts w:ascii="標楷體" w:eastAsia="標楷體" w:hAnsi="標楷體" w:hint="eastAsia"/>
                <w:color w:val="000000"/>
              </w:rPr>
              <w:t>調整規章條次體例。</w:t>
            </w:r>
          </w:p>
        </w:tc>
      </w:tr>
    </w:tbl>
    <w:p w:rsidR="004116CF" w:rsidRPr="0098166B" w:rsidRDefault="004116CF">
      <w:pPr>
        <w:rPr>
          <w:rFonts w:ascii="標楷體" w:eastAsia="標楷體" w:hAnsi="標楷體"/>
          <w:color w:val="000000"/>
        </w:rPr>
      </w:pPr>
    </w:p>
    <w:sectPr w:rsidR="004116CF" w:rsidRPr="0098166B" w:rsidSect="006B298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D2" w:rsidRDefault="00246BD2" w:rsidP="004116CF">
      <w:r>
        <w:separator/>
      </w:r>
    </w:p>
  </w:endnote>
  <w:endnote w:type="continuationSeparator" w:id="0">
    <w:p w:rsidR="00246BD2" w:rsidRDefault="00246BD2" w:rsidP="004116C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019"/>
      <w:docPartObj>
        <w:docPartGallery w:val="Page Numbers (Bottom of Page)"/>
        <w:docPartUnique/>
      </w:docPartObj>
    </w:sdtPr>
    <w:sdtContent>
      <w:p w:rsidR="009D7C70" w:rsidRDefault="00196340">
        <w:pPr>
          <w:pStyle w:val="a5"/>
          <w:jc w:val="center"/>
        </w:pPr>
        <w:r w:rsidRPr="00551203">
          <w:rPr>
            <w:rFonts w:ascii="Times New Roman" w:hAnsi="Times New Roman"/>
          </w:rPr>
          <w:fldChar w:fldCharType="begin"/>
        </w:r>
        <w:r w:rsidR="00551203" w:rsidRPr="00551203">
          <w:rPr>
            <w:rFonts w:ascii="Times New Roman" w:hAnsi="Times New Roman"/>
          </w:rPr>
          <w:instrText xml:space="preserve"> PAGE   \* MERGEFORMAT </w:instrText>
        </w:r>
        <w:r w:rsidRPr="00551203">
          <w:rPr>
            <w:rFonts w:ascii="Times New Roman" w:hAnsi="Times New Roman"/>
          </w:rPr>
          <w:fldChar w:fldCharType="separate"/>
        </w:r>
        <w:r w:rsidR="00302426" w:rsidRPr="00302426">
          <w:rPr>
            <w:rFonts w:ascii="Times New Roman" w:hAnsi="Times New Roman"/>
            <w:noProof/>
            <w:lang w:val="zh-TW"/>
          </w:rPr>
          <w:t>1</w:t>
        </w:r>
        <w:r w:rsidRPr="00551203">
          <w:rPr>
            <w:rFonts w:ascii="Times New Roman" w:hAnsi="Times New Roman"/>
          </w:rPr>
          <w:fldChar w:fldCharType="end"/>
        </w:r>
      </w:p>
    </w:sdtContent>
  </w:sdt>
  <w:p w:rsidR="009D7C70" w:rsidRDefault="009D7C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D2" w:rsidRDefault="00246BD2" w:rsidP="004116CF">
      <w:r>
        <w:separator/>
      </w:r>
    </w:p>
  </w:footnote>
  <w:footnote w:type="continuationSeparator" w:id="0">
    <w:p w:rsidR="00246BD2" w:rsidRDefault="00246BD2" w:rsidP="00411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26A"/>
    <w:multiLevelType w:val="hybridMultilevel"/>
    <w:tmpl w:val="D7323A70"/>
    <w:lvl w:ilvl="0" w:tplc="6944B26E">
      <w:start w:val="1"/>
      <w:numFmt w:val="taiwaneseCountingThousand"/>
      <w:lvlText w:val="%1、"/>
      <w:lvlJc w:val="left"/>
      <w:pPr>
        <w:ind w:left="691" w:hanging="360"/>
      </w:pPr>
      <w:rPr>
        <w:rFonts w:ascii="標楷體" w:eastAsia="標楷體" w:hAnsi="標楷體" w:hint="default"/>
        <w:color w:val="000000"/>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
    <w:nsid w:val="0ED81673"/>
    <w:multiLevelType w:val="hybridMultilevel"/>
    <w:tmpl w:val="474CBBDC"/>
    <w:lvl w:ilvl="0" w:tplc="675EF782">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9B72C9"/>
    <w:multiLevelType w:val="hybridMultilevel"/>
    <w:tmpl w:val="96C811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A485D"/>
    <w:multiLevelType w:val="hybridMultilevel"/>
    <w:tmpl w:val="DC2657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4F242A"/>
    <w:multiLevelType w:val="hybridMultilevel"/>
    <w:tmpl w:val="43E03F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4505A2"/>
    <w:multiLevelType w:val="hybridMultilevel"/>
    <w:tmpl w:val="70B67D52"/>
    <w:lvl w:ilvl="0" w:tplc="1D5240C0">
      <w:start w:val="1"/>
      <w:numFmt w:val="taiwaneseCountingThousand"/>
      <w:lvlText w:val="%1、"/>
      <w:lvlJc w:val="left"/>
      <w:pPr>
        <w:ind w:left="691" w:hanging="36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6">
    <w:nsid w:val="361B63C6"/>
    <w:multiLevelType w:val="hybridMultilevel"/>
    <w:tmpl w:val="C97074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605CEF"/>
    <w:multiLevelType w:val="hybridMultilevel"/>
    <w:tmpl w:val="1D1E7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8B474E"/>
    <w:multiLevelType w:val="hybridMultilevel"/>
    <w:tmpl w:val="680645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5962C0"/>
    <w:multiLevelType w:val="hybridMultilevel"/>
    <w:tmpl w:val="335E05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752576"/>
    <w:multiLevelType w:val="hybridMultilevel"/>
    <w:tmpl w:val="9EACAF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85112F"/>
    <w:multiLevelType w:val="hybridMultilevel"/>
    <w:tmpl w:val="C95C7696"/>
    <w:lvl w:ilvl="0" w:tplc="EE943D5E">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B027D3"/>
    <w:multiLevelType w:val="hybridMultilevel"/>
    <w:tmpl w:val="43E03F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DA12DE"/>
    <w:multiLevelType w:val="hybridMultilevel"/>
    <w:tmpl w:val="F93C1B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873F60"/>
    <w:multiLevelType w:val="hybridMultilevel"/>
    <w:tmpl w:val="476EB7C2"/>
    <w:lvl w:ilvl="0" w:tplc="5F4A1AEC">
      <w:start w:val="1"/>
      <w:numFmt w:val="taiwaneseCountingThousand"/>
      <w:lvlText w:val="%1、"/>
      <w:lvlJc w:val="left"/>
      <w:pPr>
        <w:ind w:left="691" w:hanging="360"/>
      </w:pPr>
      <w:rPr>
        <w:rFonts w:hint="default"/>
        <w:u w:val="none"/>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num w:numId="1">
    <w:abstractNumId w:val="5"/>
  </w:num>
  <w:num w:numId="2">
    <w:abstractNumId w:val="14"/>
  </w:num>
  <w:num w:numId="3">
    <w:abstractNumId w:val="0"/>
  </w:num>
  <w:num w:numId="4">
    <w:abstractNumId w:val="1"/>
  </w:num>
  <w:num w:numId="5">
    <w:abstractNumId w:val="6"/>
  </w:num>
  <w:num w:numId="6">
    <w:abstractNumId w:val="3"/>
  </w:num>
  <w:num w:numId="7">
    <w:abstractNumId w:val="4"/>
  </w:num>
  <w:num w:numId="8">
    <w:abstractNumId w:val="8"/>
  </w:num>
  <w:num w:numId="9">
    <w:abstractNumId w:val="12"/>
  </w:num>
  <w:num w:numId="10">
    <w:abstractNumId w:val="7"/>
  </w:num>
  <w:num w:numId="11">
    <w:abstractNumId w:val="2"/>
  </w:num>
  <w:num w:numId="12">
    <w:abstractNumId w:val="9"/>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6CF"/>
    <w:rsid w:val="00001C35"/>
    <w:rsid w:val="00005017"/>
    <w:rsid w:val="0000542B"/>
    <w:rsid w:val="000349F9"/>
    <w:rsid w:val="00046FC8"/>
    <w:rsid w:val="00071AC6"/>
    <w:rsid w:val="00074C1F"/>
    <w:rsid w:val="00076757"/>
    <w:rsid w:val="00086B51"/>
    <w:rsid w:val="00096B36"/>
    <w:rsid w:val="000B057A"/>
    <w:rsid w:val="000B05B5"/>
    <w:rsid w:val="000B276A"/>
    <w:rsid w:val="000B60A5"/>
    <w:rsid w:val="000E63B0"/>
    <w:rsid w:val="0011118C"/>
    <w:rsid w:val="0011262E"/>
    <w:rsid w:val="00125BB3"/>
    <w:rsid w:val="00125D0D"/>
    <w:rsid w:val="001333C3"/>
    <w:rsid w:val="0013688F"/>
    <w:rsid w:val="001446AC"/>
    <w:rsid w:val="0016085E"/>
    <w:rsid w:val="00176BE2"/>
    <w:rsid w:val="00196340"/>
    <w:rsid w:val="001A3089"/>
    <w:rsid w:val="001A31CE"/>
    <w:rsid w:val="001D55F5"/>
    <w:rsid w:val="001E6B75"/>
    <w:rsid w:val="00205DB2"/>
    <w:rsid w:val="002310F6"/>
    <w:rsid w:val="002423F8"/>
    <w:rsid w:val="00242F6E"/>
    <w:rsid w:val="00246459"/>
    <w:rsid w:val="00246BD2"/>
    <w:rsid w:val="002574F3"/>
    <w:rsid w:val="00266A4C"/>
    <w:rsid w:val="002A00A0"/>
    <w:rsid w:val="002A3019"/>
    <w:rsid w:val="002B219B"/>
    <w:rsid w:val="002B7A0D"/>
    <w:rsid w:val="002C305D"/>
    <w:rsid w:val="002D1ECB"/>
    <w:rsid w:val="002E6868"/>
    <w:rsid w:val="002F147D"/>
    <w:rsid w:val="002F1A83"/>
    <w:rsid w:val="002F57A9"/>
    <w:rsid w:val="002F5E38"/>
    <w:rsid w:val="002F6D94"/>
    <w:rsid w:val="00302426"/>
    <w:rsid w:val="00310D11"/>
    <w:rsid w:val="00316C91"/>
    <w:rsid w:val="00324781"/>
    <w:rsid w:val="003301B9"/>
    <w:rsid w:val="00343408"/>
    <w:rsid w:val="003501F3"/>
    <w:rsid w:val="00372EC3"/>
    <w:rsid w:val="003730D0"/>
    <w:rsid w:val="0038504F"/>
    <w:rsid w:val="003A130E"/>
    <w:rsid w:val="003D1041"/>
    <w:rsid w:val="003D5DFB"/>
    <w:rsid w:val="003D7251"/>
    <w:rsid w:val="003E797A"/>
    <w:rsid w:val="003F1ECA"/>
    <w:rsid w:val="00403C63"/>
    <w:rsid w:val="004116CF"/>
    <w:rsid w:val="00416691"/>
    <w:rsid w:val="0042793A"/>
    <w:rsid w:val="00431246"/>
    <w:rsid w:val="00434285"/>
    <w:rsid w:val="00440371"/>
    <w:rsid w:val="00464673"/>
    <w:rsid w:val="00465123"/>
    <w:rsid w:val="00465FD1"/>
    <w:rsid w:val="004753A8"/>
    <w:rsid w:val="00477EC6"/>
    <w:rsid w:val="004A5911"/>
    <w:rsid w:val="004B2A21"/>
    <w:rsid w:val="004C2B76"/>
    <w:rsid w:val="004E7285"/>
    <w:rsid w:val="0050776B"/>
    <w:rsid w:val="00545D4B"/>
    <w:rsid w:val="00551203"/>
    <w:rsid w:val="005A184E"/>
    <w:rsid w:val="005A2837"/>
    <w:rsid w:val="005A53ED"/>
    <w:rsid w:val="005C4C21"/>
    <w:rsid w:val="005D0E4F"/>
    <w:rsid w:val="005D31CB"/>
    <w:rsid w:val="005D4909"/>
    <w:rsid w:val="005E2B76"/>
    <w:rsid w:val="005F1782"/>
    <w:rsid w:val="00603C63"/>
    <w:rsid w:val="00607D0F"/>
    <w:rsid w:val="00612F08"/>
    <w:rsid w:val="006151D2"/>
    <w:rsid w:val="006175FA"/>
    <w:rsid w:val="006202E0"/>
    <w:rsid w:val="00620FEE"/>
    <w:rsid w:val="00681B07"/>
    <w:rsid w:val="00687760"/>
    <w:rsid w:val="00691C4F"/>
    <w:rsid w:val="00693BAB"/>
    <w:rsid w:val="00694B43"/>
    <w:rsid w:val="006A4F28"/>
    <w:rsid w:val="006B19F8"/>
    <w:rsid w:val="006B2980"/>
    <w:rsid w:val="006B3D64"/>
    <w:rsid w:val="006B6C12"/>
    <w:rsid w:val="006D3E49"/>
    <w:rsid w:val="006D7A3C"/>
    <w:rsid w:val="0070702D"/>
    <w:rsid w:val="0071723C"/>
    <w:rsid w:val="007228B1"/>
    <w:rsid w:val="00733B96"/>
    <w:rsid w:val="007341E6"/>
    <w:rsid w:val="007631F9"/>
    <w:rsid w:val="00774070"/>
    <w:rsid w:val="00776BB8"/>
    <w:rsid w:val="007839AE"/>
    <w:rsid w:val="00797E96"/>
    <w:rsid w:val="007A1C4D"/>
    <w:rsid w:val="007A3E14"/>
    <w:rsid w:val="007C0C53"/>
    <w:rsid w:val="00842D52"/>
    <w:rsid w:val="00854303"/>
    <w:rsid w:val="00870980"/>
    <w:rsid w:val="00875D4A"/>
    <w:rsid w:val="00880476"/>
    <w:rsid w:val="00885CF1"/>
    <w:rsid w:val="00887C8F"/>
    <w:rsid w:val="00891710"/>
    <w:rsid w:val="008A1D71"/>
    <w:rsid w:val="008A2A68"/>
    <w:rsid w:val="008B2DAC"/>
    <w:rsid w:val="008B4EE0"/>
    <w:rsid w:val="008D3117"/>
    <w:rsid w:val="008D722E"/>
    <w:rsid w:val="008E5EF5"/>
    <w:rsid w:val="008F0D09"/>
    <w:rsid w:val="009050D1"/>
    <w:rsid w:val="00933C62"/>
    <w:rsid w:val="00945F90"/>
    <w:rsid w:val="00954C12"/>
    <w:rsid w:val="00965D99"/>
    <w:rsid w:val="0098166B"/>
    <w:rsid w:val="00982691"/>
    <w:rsid w:val="009A0B06"/>
    <w:rsid w:val="009D6BC5"/>
    <w:rsid w:val="009D7C70"/>
    <w:rsid w:val="00A015A2"/>
    <w:rsid w:val="00A077B6"/>
    <w:rsid w:val="00A07CFA"/>
    <w:rsid w:val="00A1197E"/>
    <w:rsid w:val="00A3300C"/>
    <w:rsid w:val="00A711F6"/>
    <w:rsid w:val="00A81F1C"/>
    <w:rsid w:val="00A90AE1"/>
    <w:rsid w:val="00AC76D4"/>
    <w:rsid w:val="00AE0BC3"/>
    <w:rsid w:val="00AF2F1E"/>
    <w:rsid w:val="00B1335B"/>
    <w:rsid w:val="00B83B45"/>
    <w:rsid w:val="00B91AF1"/>
    <w:rsid w:val="00B93304"/>
    <w:rsid w:val="00B96133"/>
    <w:rsid w:val="00BA10D4"/>
    <w:rsid w:val="00BA6413"/>
    <w:rsid w:val="00BB23CF"/>
    <w:rsid w:val="00BC57C1"/>
    <w:rsid w:val="00BC68C9"/>
    <w:rsid w:val="00BD23F1"/>
    <w:rsid w:val="00BD63A2"/>
    <w:rsid w:val="00BF2C7A"/>
    <w:rsid w:val="00BF5561"/>
    <w:rsid w:val="00C04020"/>
    <w:rsid w:val="00C11762"/>
    <w:rsid w:val="00C27D0E"/>
    <w:rsid w:val="00C3509E"/>
    <w:rsid w:val="00C51E40"/>
    <w:rsid w:val="00C711FC"/>
    <w:rsid w:val="00C71E1A"/>
    <w:rsid w:val="00C72627"/>
    <w:rsid w:val="00C72C23"/>
    <w:rsid w:val="00C85714"/>
    <w:rsid w:val="00CB06FB"/>
    <w:rsid w:val="00CB7297"/>
    <w:rsid w:val="00CB7A33"/>
    <w:rsid w:val="00CC4236"/>
    <w:rsid w:val="00CC773D"/>
    <w:rsid w:val="00CD1E0E"/>
    <w:rsid w:val="00D07C7B"/>
    <w:rsid w:val="00D16DF4"/>
    <w:rsid w:val="00D213A2"/>
    <w:rsid w:val="00D66245"/>
    <w:rsid w:val="00D70502"/>
    <w:rsid w:val="00D73201"/>
    <w:rsid w:val="00D81D04"/>
    <w:rsid w:val="00D93055"/>
    <w:rsid w:val="00D9489D"/>
    <w:rsid w:val="00DA2A13"/>
    <w:rsid w:val="00DC7B60"/>
    <w:rsid w:val="00DE6F17"/>
    <w:rsid w:val="00DF4E2D"/>
    <w:rsid w:val="00DF6B7D"/>
    <w:rsid w:val="00DF76F6"/>
    <w:rsid w:val="00DF7CA9"/>
    <w:rsid w:val="00E02096"/>
    <w:rsid w:val="00E15BBF"/>
    <w:rsid w:val="00E17ECC"/>
    <w:rsid w:val="00E41EB4"/>
    <w:rsid w:val="00E516D6"/>
    <w:rsid w:val="00E80410"/>
    <w:rsid w:val="00E8449D"/>
    <w:rsid w:val="00EA044A"/>
    <w:rsid w:val="00EA20B1"/>
    <w:rsid w:val="00EA3BE3"/>
    <w:rsid w:val="00EB3EDF"/>
    <w:rsid w:val="00EC296D"/>
    <w:rsid w:val="00F000BA"/>
    <w:rsid w:val="00F122E8"/>
    <w:rsid w:val="00F15C52"/>
    <w:rsid w:val="00F21E6A"/>
    <w:rsid w:val="00F33EDA"/>
    <w:rsid w:val="00F36C9E"/>
    <w:rsid w:val="00F404A2"/>
    <w:rsid w:val="00F519F7"/>
    <w:rsid w:val="00F643D3"/>
    <w:rsid w:val="00F66A4B"/>
    <w:rsid w:val="00F6784F"/>
    <w:rsid w:val="00F73C0A"/>
    <w:rsid w:val="00F84A26"/>
    <w:rsid w:val="00F93BE2"/>
    <w:rsid w:val="00F96B61"/>
    <w:rsid w:val="00FA586D"/>
    <w:rsid w:val="00FC0436"/>
    <w:rsid w:val="00FD3B18"/>
    <w:rsid w:val="00FD5EC9"/>
    <w:rsid w:val="00FF43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16CF"/>
    <w:pPr>
      <w:tabs>
        <w:tab w:val="center" w:pos="4153"/>
        <w:tab w:val="right" w:pos="8306"/>
      </w:tabs>
      <w:snapToGrid w:val="0"/>
    </w:pPr>
    <w:rPr>
      <w:sz w:val="20"/>
      <w:szCs w:val="20"/>
    </w:rPr>
  </w:style>
  <w:style w:type="character" w:customStyle="1" w:styleId="a4">
    <w:name w:val="頁首 字元"/>
    <w:basedOn w:val="a0"/>
    <w:link w:val="a3"/>
    <w:uiPriority w:val="99"/>
    <w:semiHidden/>
    <w:rsid w:val="004116CF"/>
    <w:rPr>
      <w:sz w:val="20"/>
      <w:szCs w:val="20"/>
    </w:rPr>
  </w:style>
  <w:style w:type="paragraph" w:styleId="a5">
    <w:name w:val="footer"/>
    <w:basedOn w:val="a"/>
    <w:link w:val="a6"/>
    <w:uiPriority w:val="99"/>
    <w:unhideWhenUsed/>
    <w:rsid w:val="004116CF"/>
    <w:pPr>
      <w:tabs>
        <w:tab w:val="center" w:pos="4153"/>
        <w:tab w:val="right" w:pos="8306"/>
      </w:tabs>
      <w:snapToGrid w:val="0"/>
    </w:pPr>
    <w:rPr>
      <w:sz w:val="20"/>
      <w:szCs w:val="20"/>
    </w:rPr>
  </w:style>
  <w:style w:type="character" w:customStyle="1" w:styleId="a6">
    <w:name w:val="頁尾 字元"/>
    <w:basedOn w:val="a0"/>
    <w:link w:val="a5"/>
    <w:uiPriority w:val="99"/>
    <w:rsid w:val="004116CF"/>
    <w:rPr>
      <w:sz w:val="20"/>
      <w:szCs w:val="20"/>
    </w:rPr>
  </w:style>
  <w:style w:type="table" w:styleId="a7">
    <w:name w:val="Table Grid"/>
    <w:basedOn w:val="a1"/>
    <w:uiPriority w:val="59"/>
    <w:rsid w:val="00411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411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4116CF"/>
    <w:rPr>
      <w:rFonts w:ascii="細明體" w:eastAsia="細明體" w:hAnsi="細明體" w:cs="細明體"/>
      <w:color w:val="333333"/>
      <w:kern w:val="0"/>
      <w:szCs w:val="24"/>
    </w:rPr>
  </w:style>
  <w:style w:type="paragraph" w:styleId="a8">
    <w:name w:val="List Paragraph"/>
    <w:basedOn w:val="a"/>
    <w:uiPriority w:val="34"/>
    <w:qFormat/>
    <w:rsid w:val="00086B51"/>
    <w:pPr>
      <w:ind w:leftChars="200" w:left="480"/>
    </w:pPr>
  </w:style>
  <w:style w:type="paragraph" w:styleId="a9">
    <w:name w:val="Plain Text"/>
    <w:basedOn w:val="a"/>
    <w:link w:val="aa"/>
    <w:uiPriority w:val="99"/>
    <w:unhideWhenUsed/>
    <w:rsid w:val="00071AC6"/>
    <w:rPr>
      <w:rFonts w:hAnsi="Courier New" w:cs="Courier New"/>
      <w:szCs w:val="24"/>
    </w:rPr>
  </w:style>
  <w:style w:type="character" w:customStyle="1" w:styleId="aa">
    <w:name w:val="純文字 字元"/>
    <w:basedOn w:val="a0"/>
    <w:link w:val="a9"/>
    <w:uiPriority w:val="99"/>
    <w:rsid w:val="00071AC6"/>
    <w:rPr>
      <w:rFonts w:ascii="Calibri" w:eastAsia="新細明體" w:hAnsi="Courier New" w:cs="Courier New"/>
      <w:szCs w:val="24"/>
    </w:rPr>
  </w:style>
  <w:style w:type="paragraph" w:styleId="ab">
    <w:name w:val="Balloon Text"/>
    <w:basedOn w:val="a"/>
    <w:link w:val="ac"/>
    <w:uiPriority w:val="99"/>
    <w:semiHidden/>
    <w:unhideWhenUsed/>
    <w:rsid w:val="00694B4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94B43"/>
    <w:rPr>
      <w:rFonts w:asciiTheme="majorHAnsi" w:eastAsiaTheme="majorEastAsia" w:hAnsiTheme="majorHAnsi" w:cstheme="majorBidi"/>
      <w:kern w:val="2"/>
      <w:sz w:val="18"/>
      <w:szCs w:val="18"/>
    </w:rPr>
  </w:style>
  <w:style w:type="character" w:styleId="ad">
    <w:name w:val="Hyperlink"/>
    <w:basedOn w:val="a0"/>
    <w:uiPriority w:val="99"/>
    <w:semiHidden/>
    <w:unhideWhenUsed/>
    <w:rsid w:val="00880476"/>
    <w:rPr>
      <w:color w:val="0000FF"/>
      <w:u w:val="single"/>
    </w:rPr>
  </w:style>
</w:styles>
</file>

<file path=word/webSettings.xml><?xml version="1.0" encoding="utf-8"?>
<w:webSettings xmlns:r="http://schemas.openxmlformats.org/officeDocument/2006/relationships" xmlns:w="http://schemas.openxmlformats.org/wordprocessingml/2006/main">
  <w:divs>
    <w:div w:id="83846626">
      <w:bodyDiv w:val="1"/>
      <w:marLeft w:val="0"/>
      <w:marRight w:val="0"/>
      <w:marTop w:val="0"/>
      <w:marBottom w:val="0"/>
      <w:divBdr>
        <w:top w:val="none" w:sz="0" w:space="0" w:color="auto"/>
        <w:left w:val="none" w:sz="0" w:space="0" w:color="auto"/>
        <w:bottom w:val="none" w:sz="0" w:space="0" w:color="auto"/>
        <w:right w:val="none" w:sz="0" w:space="0" w:color="auto"/>
      </w:divBdr>
    </w:div>
    <w:div w:id="210652236">
      <w:bodyDiv w:val="1"/>
      <w:marLeft w:val="0"/>
      <w:marRight w:val="0"/>
      <w:marTop w:val="0"/>
      <w:marBottom w:val="0"/>
      <w:divBdr>
        <w:top w:val="none" w:sz="0" w:space="0" w:color="auto"/>
        <w:left w:val="none" w:sz="0" w:space="0" w:color="auto"/>
        <w:bottom w:val="none" w:sz="0" w:space="0" w:color="auto"/>
        <w:right w:val="none" w:sz="0" w:space="0" w:color="auto"/>
      </w:divBdr>
    </w:div>
    <w:div w:id="239142100">
      <w:bodyDiv w:val="1"/>
      <w:marLeft w:val="0"/>
      <w:marRight w:val="0"/>
      <w:marTop w:val="0"/>
      <w:marBottom w:val="0"/>
      <w:divBdr>
        <w:top w:val="none" w:sz="0" w:space="0" w:color="auto"/>
        <w:left w:val="none" w:sz="0" w:space="0" w:color="auto"/>
        <w:bottom w:val="none" w:sz="0" w:space="0" w:color="auto"/>
        <w:right w:val="none" w:sz="0" w:space="0" w:color="auto"/>
      </w:divBdr>
    </w:div>
    <w:div w:id="593710525">
      <w:bodyDiv w:val="1"/>
      <w:marLeft w:val="0"/>
      <w:marRight w:val="0"/>
      <w:marTop w:val="0"/>
      <w:marBottom w:val="0"/>
      <w:divBdr>
        <w:top w:val="none" w:sz="0" w:space="0" w:color="auto"/>
        <w:left w:val="none" w:sz="0" w:space="0" w:color="auto"/>
        <w:bottom w:val="none" w:sz="0" w:space="0" w:color="auto"/>
        <w:right w:val="none" w:sz="0" w:space="0" w:color="auto"/>
      </w:divBdr>
    </w:div>
    <w:div w:id="1391460494">
      <w:bodyDiv w:val="1"/>
      <w:marLeft w:val="0"/>
      <w:marRight w:val="0"/>
      <w:marTop w:val="0"/>
      <w:marBottom w:val="0"/>
      <w:divBdr>
        <w:top w:val="none" w:sz="0" w:space="0" w:color="auto"/>
        <w:left w:val="none" w:sz="0" w:space="0" w:color="auto"/>
        <w:bottom w:val="none" w:sz="0" w:space="0" w:color="auto"/>
        <w:right w:val="none" w:sz="0" w:space="0" w:color="auto"/>
      </w:divBdr>
    </w:div>
    <w:div w:id="1713847327">
      <w:bodyDiv w:val="1"/>
      <w:marLeft w:val="0"/>
      <w:marRight w:val="0"/>
      <w:marTop w:val="0"/>
      <w:marBottom w:val="0"/>
      <w:divBdr>
        <w:top w:val="none" w:sz="0" w:space="0" w:color="auto"/>
        <w:left w:val="none" w:sz="0" w:space="0" w:color="auto"/>
        <w:bottom w:val="none" w:sz="0" w:space="0" w:color="auto"/>
        <w:right w:val="none" w:sz="0" w:space="0" w:color="auto"/>
      </w:divBdr>
    </w:div>
    <w:div w:id="1953779585">
      <w:bodyDiv w:val="1"/>
      <w:marLeft w:val="0"/>
      <w:marRight w:val="0"/>
      <w:marTop w:val="0"/>
      <w:marBottom w:val="0"/>
      <w:divBdr>
        <w:top w:val="none" w:sz="0" w:space="0" w:color="auto"/>
        <w:left w:val="none" w:sz="0" w:space="0" w:color="auto"/>
        <w:bottom w:val="none" w:sz="0" w:space="0" w:color="auto"/>
        <w:right w:val="none" w:sz="0" w:space="0" w:color="auto"/>
      </w:divBdr>
    </w:div>
    <w:div w:id="20665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rket-regulation.twse.com.tw/TW/law/DAT01.aspx?FLCODE=FL0073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1633</Characters>
  <Application>Microsoft Office Word</Application>
  <DocSecurity>0</DocSecurity>
  <Lines>13</Lines>
  <Paragraphs>3</Paragraphs>
  <ScaleCrop>false</ScaleCrop>
  <Company>TWSE</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0675</dc:creator>
  <cp:lastModifiedBy>0440</cp:lastModifiedBy>
  <cp:revision>4</cp:revision>
  <cp:lastPrinted>2014-08-07T03:46:00Z</cp:lastPrinted>
  <dcterms:created xsi:type="dcterms:W3CDTF">2014-10-14T05:50:00Z</dcterms:created>
  <dcterms:modified xsi:type="dcterms:W3CDTF">2014-10-14T06:01:00Z</dcterms:modified>
</cp:coreProperties>
</file>