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19" w:rsidRPr="005D72F8" w:rsidRDefault="000D3019" w:rsidP="00CC4D27">
      <w:pPr>
        <w:spacing w:line="400" w:lineRule="exact"/>
        <w:jc w:val="center"/>
        <w:rPr>
          <w:rFonts w:ascii="標楷體" w:eastAsia="標楷體" w:hAnsi="標楷體"/>
          <w:sz w:val="36"/>
          <w:szCs w:val="36"/>
        </w:rPr>
      </w:pPr>
      <w:r w:rsidRPr="005D72F8">
        <w:rPr>
          <w:rFonts w:ascii="標楷體" w:eastAsia="標楷體" w:hAnsi="標楷體" w:hint="eastAsia"/>
          <w:sz w:val="36"/>
          <w:szCs w:val="36"/>
        </w:rPr>
        <w:t>臺灣證券交易</w:t>
      </w:r>
      <w:r w:rsidR="00EE7D5E" w:rsidRPr="005D72F8">
        <w:rPr>
          <w:rFonts w:ascii="標楷體" w:eastAsia="標楷體" w:hAnsi="標楷體" w:hint="eastAsia"/>
          <w:sz w:val="36"/>
          <w:szCs w:val="36"/>
        </w:rPr>
        <w:t>所</w:t>
      </w:r>
      <w:r w:rsidR="00A47C72" w:rsidRPr="008A129E">
        <w:rPr>
          <w:rFonts w:ascii="標楷體" w:eastAsia="標楷體" w:hAnsi="標楷體"/>
          <w:sz w:val="36"/>
          <w:szCs w:val="36"/>
        </w:rPr>
        <w:t>主辦證券承銷商受託協助第一上市公司遵循我國法令暨本公司上市相關規章應行注意事項要點</w:t>
      </w:r>
      <w:r w:rsidR="00E7779B" w:rsidRPr="005D72F8">
        <w:rPr>
          <w:rFonts w:ascii="標楷體" w:eastAsia="標楷體" w:hAnsi="標楷體" w:hint="eastAsia"/>
          <w:sz w:val="36"/>
          <w:szCs w:val="36"/>
        </w:rPr>
        <w:t>部分</w:t>
      </w:r>
      <w:r w:rsidR="00132A4F" w:rsidRPr="005D72F8">
        <w:rPr>
          <w:rFonts w:ascii="標楷體" w:eastAsia="標楷體" w:hAnsi="標楷體" w:hint="eastAsia"/>
          <w:sz w:val="36"/>
          <w:szCs w:val="36"/>
        </w:rPr>
        <w:t>修</w:t>
      </w:r>
      <w:r w:rsidR="006F6CC1">
        <w:rPr>
          <w:rFonts w:ascii="標楷體" w:eastAsia="標楷體" w:hAnsi="標楷體" w:hint="eastAsia"/>
          <w:sz w:val="36"/>
          <w:szCs w:val="36"/>
        </w:rPr>
        <w:t>正</w:t>
      </w:r>
      <w:r w:rsidR="006F6CC1" w:rsidRPr="005D72F8">
        <w:rPr>
          <w:rFonts w:ascii="標楷體" w:eastAsia="標楷體" w:hAnsi="標楷體" w:hint="eastAsia"/>
          <w:sz w:val="36"/>
          <w:szCs w:val="36"/>
        </w:rPr>
        <w:t>條文</w:t>
      </w:r>
      <w:r w:rsidRPr="005D72F8">
        <w:rPr>
          <w:rFonts w:ascii="標楷體" w:eastAsia="標楷體" w:hAnsi="標楷體" w:hint="eastAsia"/>
          <w:sz w:val="36"/>
          <w:szCs w:val="36"/>
        </w:rPr>
        <w:t>對照表</w:t>
      </w:r>
    </w:p>
    <w:tbl>
      <w:tblPr>
        <w:tblW w:w="9799"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3401"/>
        <w:gridCol w:w="2996"/>
      </w:tblGrid>
      <w:tr w:rsidR="000D3019" w:rsidTr="000853B2">
        <w:tc>
          <w:tcPr>
            <w:tcW w:w="3402" w:type="dxa"/>
          </w:tcPr>
          <w:p w:rsidR="000D3019" w:rsidRPr="003541E4" w:rsidRDefault="000D3019" w:rsidP="003541E4">
            <w:pPr>
              <w:jc w:val="distribute"/>
              <w:rPr>
                <w:rFonts w:ascii="標楷體" w:eastAsia="標楷體" w:hAnsi="標楷體"/>
              </w:rPr>
            </w:pPr>
            <w:r w:rsidRPr="003541E4">
              <w:rPr>
                <w:rFonts w:ascii="標楷體" w:eastAsia="標楷體" w:hAnsi="標楷體"/>
              </w:rPr>
              <w:t>修正條文</w:t>
            </w:r>
          </w:p>
        </w:tc>
        <w:tc>
          <w:tcPr>
            <w:tcW w:w="3401" w:type="dxa"/>
          </w:tcPr>
          <w:p w:rsidR="000D3019" w:rsidRPr="003541E4" w:rsidRDefault="000D3019" w:rsidP="003541E4">
            <w:pPr>
              <w:jc w:val="distribute"/>
              <w:rPr>
                <w:rFonts w:ascii="標楷體" w:eastAsia="標楷體" w:hAnsi="標楷體"/>
              </w:rPr>
            </w:pPr>
            <w:r w:rsidRPr="003541E4">
              <w:rPr>
                <w:rFonts w:ascii="標楷體" w:eastAsia="標楷體" w:hAnsi="標楷體"/>
              </w:rPr>
              <w:t>現行條文</w:t>
            </w:r>
          </w:p>
        </w:tc>
        <w:tc>
          <w:tcPr>
            <w:tcW w:w="2996" w:type="dxa"/>
          </w:tcPr>
          <w:p w:rsidR="000D3019" w:rsidRPr="003541E4" w:rsidRDefault="000D3019" w:rsidP="003541E4">
            <w:pPr>
              <w:jc w:val="distribute"/>
              <w:rPr>
                <w:rFonts w:ascii="標楷體" w:eastAsia="標楷體" w:hAnsi="標楷體"/>
              </w:rPr>
            </w:pPr>
            <w:r w:rsidRPr="003541E4">
              <w:rPr>
                <w:rFonts w:ascii="標楷體" w:eastAsia="標楷體" w:hAnsi="標楷體"/>
              </w:rPr>
              <w:t>說明</w:t>
            </w:r>
          </w:p>
        </w:tc>
      </w:tr>
      <w:tr w:rsidR="000D33E5" w:rsidTr="000853B2">
        <w:tc>
          <w:tcPr>
            <w:tcW w:w="3402" w:type="dxa"/>
          </w:tcPr>
          <w:p w:rsidR="000D33E5" w:rsidRPr="002E7541" w:rsidRDefault="000D33E5" w:rsidP="00DD2417">
            <w:pPr>
              <w:rPr>
                <w:rFonts w:ascii="標楷體" w:eastAsia="標楷體" w:hAnsi="標楷體"/>
                <w:bCs/>
                <w:color w:val="000000"/>
              </w:rPr>
            </w:pPr>
            <w:r w:rsidRPr="002E7541">
              <w:rPr>
                <w:rFonts w:ascii="標楷體" w:eastAsia="標楷體" w:hAnsi="標楷體" w:hint="eastAsia"/>
                <w:color w:val="000000"/>
              </w:rPr>
              <w:t>第</w:t>
            </w:r>
            <w:r w:rsidR="008E104B" w:rsidRPr="002E7541">
              <w:rPr>
                <w:rFonts w:ascii="標楷體" w:eastAsia="標楷體" w:hAnsi="標楷體" w:hint="eastAsia"/>
                <w:bCs/>
                <w:color w:val="000000"/>
              </w:rPr>
              <w:t>一</w:t>
            </w:r>
            <w:r w:rsidRPr="002E7541">
              <w:rPr>
                <w:rFonts w:ascii="標楷體" w:eastAsia="標楷體" w:hAnsi="標楷體" w:hint="eastAsia"/>
                <w:bCs/>
                <w:color w:val="000000"/>
              </w:rPr>
              <w:t>條</w:t>
            </w:r>
          </w:p>
          <w:p w:rsidR="00017EA5" w:rsidRPr="002E7541" w:rsidRDefault="00A477BD" w:rsidP="003C66AB">
            <w:pPr>
              <w:ind w:left="-108" w:firstLine="480"/>
              <w:jc w:val="both"/>
              <w:rPr>
                <w:rFonts w:ascii="標楷體" w:eastAsia="標楷體" w:hAnsi="標楷體"/>
                <w:color w:val="000000"/>
              </w:rPr>
            </w:pPr>
            <w:r>
              <w:rPr>
                <w:rFonts w:ascii="標楷體" w:eastAsia="標楷體" w:hAnsi="標楷體" w:hint="eastAsia"/>
                <w:u w:val="single"/>
              </w:rPr>
              <w:t>為規範</w:t>
            </w:r>
            <w:r w:rsidRPr="002E7541">
              <w:rPr>
                <w:rFonts w:ascii="標楷體" w:eastAsia="標楷體" w:hAnsi="標楷體" w:hint="eastAsia"/>
                <w:u w:val="single"/>
              </w:rPr>
              <w:t>主辦證券承銷商</w:t>
            </w:r>
            <w:r w:rsidR="00860DC2" w:rsidRPr="002E7541">
              <w:rPr>
                <w:rFonts w:ascii="標楷體" w:eastAsia="標楷體" w:hAnsi="標楷體" w:hint="eastAsia"/>
                <w:u w:val="single"/>
              </w:rPr>
              <w:t>協助</w:t>
            </w:r>
            <w:r w:rsidRPr="002E7541">
              <w:rPr>
                <w:rFonts w:ascii="標楷體" w:eastAsia="標楷體" w:hAnsi="標楷體" w:hint="eastAsia"/>
                <w:u w:val="single"/>
              </w:rPr>
              <w:t>第一上市公司</w:t>
            </w:r>
            <w:r w:rsidR="00B47B1A" w:rsidRPr="00B47B1A">
              <w:rPr>
                <w:rFonts w:ascii="標楷體" w:eastAsia="標楷體" w:hAnsi="標楷體"/>
                <w:u w:val="single"/>
              </w:rPr>
              <w:t>遵循中華民國</w:t>
            </w:r>
            <w:r w:rsidR="00191E74">
              <w:rPr>
                <w:rFonts w:ascii="標楷體" w:eastAsia="標楷體" w:hAnsi="標楷體" w:hint="eastAsia"/>
                <w:u w:val="single"/>
              </w:rPr>
              <w:t>證券</w:t>
            </w:r>
            <w:r w:rsidR="00B47B1A" w:rsidRPr="00B47B1A">
              <w:rPr>
                <w:rFonts w:ascii="標楷體" w:eastAsia="標楷體" w:hAnsi="標楷體"/>
                <w:u w:val="single"/>
              </w:rPr>
              <w:t>相關法令</w:t>
            </w:r>
            <w:r w:rsidR="00B47B1A">
              <w:rPr>
                <w:rFonts w:ascii="標楷體" w:eastAsia="標楷體" w:hAnsi="標楷體" w:hint="eastAsia"/>
                <w:u w:val="single"/>
              </w:rPr>
              <w:t>及本公司相關</w:t>
            </w:r>
            <w:r w:rsidR="00B47B1A" w:rsidRPr="00B47B1A">
              <w:rPr>
                <w:rFonts w:ascii="標楷體" w:eastAsia="標楷體" w:hAnsi="標楷體"/>
                <w:u w:val="single"/>
              </w:rPr>
              <w:t>規章</w:t>
            </w:r>
            <w:r w:rsidR="00947122">
              <w:rPr>
                <w:rFonts w:ascii="標楷體" w:eastAsia="標楷體" w:hAnsi="標楷體" w:hint="eastAsia"/>
                <w:u w:val="single"/>
              </w:rPr>
              <w:t>之職責範圍</w:t>
            </w:r>
            <w:r w:rsidR="00D21677">
              <w:rPr>
                <w:rFonts w:ascii="標楷體" w:eastAsia="標楷體" w:hAnsi="標楷體" w:hint="eastAsia"/>
                <w:u w:val="single"/>
              </w:rPr>
              <w:t>及</w:t>
            </w:r>
            <w:r w:rsidR="00947122">
              <w:rPr>
                <w:rFonts w:ascii="標楷體" w:eastAsia="標楷體" w:hAnsi="標楷體" w:hint="eastAsia"/>
                <w:u w:val="single"/>
              </w:rPr>
              <w:t>委任契約內容等</w:t>
            </w:r>
            <w:r>
              <w:rPr>
                <w:rFonts w:ascii="標楷體" w:eastAsia="標楷體" w:hAnsi="標楷體" w:hint="eastAsia"/>
                <w:u w:val="single"/>
              </w:rPr>
              <w:t>事</w:t>
            </w:r>
            <w:r w:rsidR="00B47B1A">
              <w:rPr>
                <w:rFonts w:ascii="標楷體" w:eastAsia="標楷體" w:hAnsi="標楷體" w:hint="eastAsia"/>
                <w:u w:val="single"/>
              </w:rPr>
              <w:t>宜</w:t>
            </w:r>
            <w:r w:rsidR="008E104B" w:rsidRPr="00A477BD">
              <w:rPr>
                <w:rFonts w:ascii="標楷體" w:eastAsia="標楷體" w:hAnsi="標楷體"/>
                <w:u w:val="single"/>
              </w:rPr>
              <w:t>，</w:t>
            </w:r>
            <w:r w:rsidR="00947122" w:rsidRPr="002E7541">
              <w:rPr>
                <w:rFonts w:ascii="標楷體" w:eastAsia="標楷體" w:hAnsi="標楷體"/>
                <w:u w:val="single"/>
              </w:rPr>
              <w:t>依據</w:t>
            </w:r>
            <w:r w:rsidR="00D21677" w:rsidRPr="00D21677">
              <w:rPr>
                <w:rFonts w:ascii="標楷體" w:eastAsia="標楷體" w:hAnsi="標楷體"/>
                <w:u w:val="single"/>
              </w:rPr>
              <w:t>本公司有價證券上市審查準則（以下簡稱「審查準則」）第二十八條之二</w:t>
            </w:r>
            <w:r w:rsidR="00D21677" w:rsidRPr="00D21677">
              <w:rPr>
                <w:rFonts w:ascii="標楷體" w:eastAsia="標楷體" w:hAnsi="標楷體" w:hint="eastAsia"/>
                <w:u w:val="single"/>
              </w:rPr>
              <w:t>暨</w:t>
            </w:r>
            <w:r w:rsidR="003C66AB" w:rsidRPr="002E7541">
              <w:rPr>
                <w:rFonts w:ascii="標楷體" w:eastAsia="標楷體" w:hAnsi="標楷體"/>
                <w:u w:val="single"/>
              </w:rPr>
              <w:t>外國發行人</w:t>
            </w:r>
            <w:r w:rsidR="00D21677" w:rsidRPr="00D21677">
              <w:rPr>
                <w:rFonts w:ascii="標楷體" w:eastAsia="標楷體" w:hAnsi="標楷體"/>
                <w:u w:val="single"/>
              </w:rPr>
              <w:t>第一上市後管理作業辦法</w:t>
            </w:r>
            <w:r w:rsidR="00D21677" w:rsidRPr="00D21677">
              <w:rPr>
                <w:rFonts w:ascii="標楷體" w:eastAsia="標楷體" w:hAnsi="標楷體" w:hint="eastAsia"/>
                <w:u w:val="single"/>
              </w:rPr>
              <w:t>第</w:t>
            </w:r>
            <w:r w:rsidR="00D21677" w:rsidRPr="002E7541">
              <w:rPr>
                <w:rFonts w:ascii="標楷體" w:eastAsia="標楷體" w:hAnsi="標楷體" w:hint="eastAsia"/>
                <w:u w:val="single"/>
              </w:rPr>
              <w:t>六條之一規定</w:t>
            </w:r>
            <w:r w:rsidR="00947122" w:rsidRPr="00D21677">
              <w:rPr>
                <w:rFonts w:ascii="標楷體" w:eastAsia="標楷體" w:hAnsi="標楷體"/>
                <w:u w:val="single"/>
              </w:rPr>
              <w:t>，</w:t>
            </w:r>
            <w:r w:rsidRPr="00A477BD">
              <w:rPr>
                <w:rFonts w:ascii="標楷體" w:eastAsia="標楷體" w:hAnsi="標楷體" w:hint="eastAsia"/>
                <w:u w:val="single"/>
              </w:rPr>
              <w:t>訂定本要點</w:t>
            </w:r>
            <w:r w:rsidR="008E104B" w:rsidRPr="00A477BD">
              <w:rPr>
                <w:rFonts w:ascii="標楷體" w:eastAsia="標楷體" w:hAnsi="標楷體"/>
                <w:u w:val="single"/>
              </w:rPr>
              <w:t>。</w:t>
            </w:r>
          </w:p>
        </w:tc>
        <w:tc>
          <w:tcPr>
            <w:tcW w:w="3401" w:type="dxa"/>
          </w:tcPr>
          <w:p w:rsidR="000D33E5" w:rsidRPr="002E7541" w:rsidRDefault="000D33E5" w:rsidP="00DD2417">
            <w:pPr>
              <w:rPr>
                <w:rFonts w:ascii="標楷體" w:eastAsia="標楷體" w:hAnsi="標楷體"/>
              </w:rPr>
            </w:pPr>
            <w:r w:rsidRPr="002E7541">
              <w:rPr>
                <w:rFonts w:ascii="標楷體" w:eastAsia="標楷體" w:hAnsi="標楷體" w:hint="eastAsia"/>
                <w:color w:val="000000"/>
              </w:rPr>
              <w:t>第</w:t>
            </w:r>
            <w:r w:rsidR="008E104B" w:rsidRPr="002E7541">
              <w:rPr>
                <w:rFonts w:ascii="標楷體" w:eastAsia="標楷體" w:hAnsi="標楷體" w:hint="eastAsia"/>
                <w:bCs/>
                <w:color w:val="000000"/>
              </w:rPr>
              <w:t>一</w:t>
            </w:r>
            <w:r w:rsidRPr="002E7541">
              <w:rPr>
                <w:rFonts w:ascii="標楷體" w:eastAsia="標楷體" w:hAnsi="標楷體" w:hint="eastAsia"/>
                <w:bCs/>
                <w:color w:val="000000"/>
              </w:rPr>
              <w:t>條</w:t>
            </w:r>
          </w:p>
          <w:p w:rsidR="000D33E5" w:rsidRPr="00763A48" w:rsidRDefault="008E104B" w:rsidP="00763A48">
            <w:pPr>
              <w:ind w:left="-108" w:firstLine="480"/>
              <w:jc w:val="both"/>
              <w:rPr>
                <w:rFonts w:ascii="標楷體" w:eastAsia="標楷體" w:hAnsi="標楷體"/>
                <w:color w:val="000000"/>
              </w:rPr>
            </w:pPr>
            <w:r w:rsidRPr="00E23A79">
              <w:rPr>
                <w:rFonts w:ascii="標楷體" w:eastAsia="標楷體" w:hAnsi="標楷體"/>
              </w:rPr>
              <w:t>第一上市公司依據本公司有價證券上市審查準則（以下簡稱「審查準則」）第二十八條之二第四項規定，於上市掛牌日起至其後二個會計年度止，委任主辦證券承銷商協助遵循中華民國證券法令、本公司章則暨公告事項及上市契約</w:t>
            </w:r>
            <w:r w:rsidRPr="002E7541">
              <w:rPr>
                <w:rFonts w:ascii="標楷體" w:eastAsia="標楷體" w:hAnsi="標楷體"/>
              </w:rPr>
              <w:t>，應依本要點規定辦理。</w:t>
            </w:r>
          </w:p>
        </w:tc>
        <w:tc>
          <w:tcPr>
            <w:tcW w:w="2996" w:type="dxa"/>
          </w:tcPr>
          <w:p w:rsidR="000853B2" w:rsidRPr="002E7541" w:rsidRDefault="000853B2" w:rsidP="00056B8A">
            <w:pPr>
              <w:jc w:val="both"/>
              <w:rPr>
                <w:rFonts w:ascii="標楷體" w:eastAsia="標楷體" w:hAnsi="標楷體"/>
              </w:rPr>
            </w:pPr>
            <w:r w:rsidRPr="00056B8A">
              <w:rPr>
                <w:rFonts w:ascii="標楷體" w:eastAsia="標楷體" w:hAnsi="標楷體" w:hint="eastAsia"/>
              </w:rPr>
              <w:t>配合外國發行人募集與發行有價證券處理準則之增修內容，強化外國發行人之法令遵循，</w:t>
            </w:r>
            <w:proofErr w:type="gramStart"/>
            <w:r w:rsidRPr="00056B8A">
              <w:rPr>
                <w:rFonts w:ascii="標楷體" w:eastAsia="標楷體" w:hAnsi="標楷體" w:hint="eastAsia"/>
              </w:rPr>
              <w:t>爰</w:t>
            </w:r>
            <w:proofErr w:type="gramEnd"/>
            <w:r w:rsidR="00056B8A" w:rsidRPr="00056B8A">
              <w:rPr>
                <w:rFonts w:ascii="標楷體" w:eastAsia="標楷體" w:hAnsi="標楷體" w:hint="eastAsia"/>
              </w:rPr>
              <w:t>新增本注意事項要點</w:t>
            </w:r>
            <w:r w:rsidR="005E793F">
              <w:rPr>
                <w:rFonts w:ascii="標楷體" w:eastAsia="標楷體" w:hAnsi="標楷體" w:hint="eastAsia"/>
              </w:rPr>
              <w:t>之</w:t>
            </w:r>
            <w:r w:rsidR="002A14EC" w:rsidRPr="00056B8A">
              <w:rPr>
                <w:rFonts w:ascii="標楷體" w:eastAsia="標楷體" w:hAnsi="標楷體" w:hint="eastAsia"/>
              </w:rPr>
              <w:t>法規</w:t>
            </w:r>
            <w:r w:rsidR="00056B8A" w:rsidRPr="00056B8A">
              <w:rPr>
                <w:rFonts w:ascii="標楷體" w:eastAsia="標楷體" w:hAnsi="標楷體" w:hint="eastAsia"/>
              </w:rPr>
              <w:t>依據</w:t>
            </w:r>
            <w:r w:rsidRPr="00056B8A">
              <w:rPr>
                <w:rFonts w:ascii="標楷體" w:eastAsia="標楷體" w:hAnsi="標楷體" w:hint="eastAsia"/>
              </w:rPr>
              <w:t>。</w:t>
            </w:r>
          </w:p>
        </w:tc>
      </w:tr>
      <w:tr w:rsidR="00012DDC" w:rsidTr="000853B2">
        <w:tc>
          <w:tcPr>
            <w:tcW w:w="3402" w:type="dxa"/>
          </w:tcPr>
          <w:p w:rsidR="00012DDC" w:rsidRPr="002E7541" w:rsidRDefault="00012DDC" w:rsidP="00012DDC">
            <w:pPr>
              <w:jc w:val="both"/>
              <w:rPr>
                <w:rFonts w:ascii="標楷體" w:eastAsia="標楷體" w:hAnsi="標楷體"/>
                <w:color w:val="000000"/>
              </w:rPr>
            </w:pPr>
            <w:r w:rsidRPr="002E7541">
              <w:rPr>
                <w:rFonts w:ascii="標楷體" w:eastAsia="標楷體" w:hAnsi="標楷體" w:hint="eastAsia"/>
                <w:color w:val="000000"/>
              </w:rPr>
              <w:t>第二條</w:t>
            </w:r>
          </w:p>
          <w:p w:rsidR="00860DC2" w:rsidRPr="002E7541" w:rsidRDefault="00860DC2" w:rsidP="00860DC2">
            <w:pPr>
              <w:ind w:left="-108" w:firstLine="480"/>
              <w:jc w:val="both"/>
              <w:rPr>
                <w:rFonts w:ascii="標楷體" w:eastAsia="標楷體" w:hAnsi="標楷體"/>
              </w:rPr>
            </w:pPr>
            <w:r w:rsidRPr="002E7541">
              <w:rPr>
                <w:rFonts w:ascii="標楷體" w:eastAsia="標楷體" w:hAnsi="標楷體"/>
              </w:rPr>
              <w:t>主辦證券承銷商協助第一上市公司遵循中華民國相關法令規章，應履行以下職責：</w:t>
            </w:r>
          </w:p>
          <w:p w:rsidR="00056B8A" w:rsidRDefault="00056B8A" w:rsidP="00056B8A">
            <w:pPr>
              <w:ind w:firstLineChars="150" w:firstLine="360"/>
              <w:jc w:val="both"/>
              <w:rPr>
                <w:rFonts w:ascii="標楷體" w:eastAsia="標楷體" w:hAnsi="標楷體"/>
              </w:rPr>
            </w:pPr>
            <w:r w:rsidRPr="001917BE">
              <w:rPr>
                <w:rFonts w:ascii="標楷體" w:eastAsia="標楷體" w:hAnsi="標楷體"/>
              </w:rPr>
              <w:t>（一）協助第一上市公司遵循中華民國證券</w:t>
            </w:r>
            <w:r w:rsidRPr="00056B8A">
              <w:rPr>
                <w:rFonts w:ascii="標楷體" w:eastAsia="標楷體" w:hAnsi="標楷體" w:hint="eastAsia"/>
                <w:u w:val="single"/>
              </w:rPr>
              <w:t>相關</w:t>
            </w:r>
            <w:r w:rsidRPr="001917BE">
              <w:rPr>
                <w:rFonts w:ascii="標楷體" w:eastAsia="標楷體" w:hAnsi="標楷體"/>
              </w:rPr>
              <w:t>法令、本公司章則暨公告事項及上市契約，應適時提供相關建議。</w:t>
            </w:r>
          </w:p>
          <w:p w:rsidR="000C4622" w:rsidRPr="002E7541" w:rsidRDefault="000C4622" w:rsidP="000C4622">
            <w:pPr>
              <w:ind w:firstLineChars="150" w:firstLine="360"/>
              <w:jc w:val="both"/>
              <w:rPr>
                <w:rFonts w:ascii="標楷體" w:eastAsia="標楷體" w:hAnsi="標楷體"/>
              </w:rPr>
            </w:pPr>
            <w:r w:rsidRPr="002E7541">
              <w:rPr>
                <w:rFonts w:ascii="標楷體" w:eastAsia="標楷體" w:hAnsi="標楷體"/>
              </w:rPr>
              <w:t>（二）於本公司對第一上市公司執行財務報告審閱、</w:t>
            </w:r>
            <w:r w:rsidR="0051443A" w:rsidRPr="002E7541">
              <w:rPr>
                <w:rFonts w:ascii="標楷體" w:eastAsia="標楷體" w:hAnsi="標楷體" w:hint="eastAsia"/>
                <w:u w:val="single"/>
              </w:rPr>
              <w:t>重大事件分析</w:t>
            </w:r>
            <w:r w:rsidRPr="002E7541">
              <w:rPr>
                <w:rFonts w:ascii="標楷體" w:eastAsia="標楷體" w:hAnsi="標楷體"/>
              </w:rPr>
              <w:t>管理等相關監理過程中，充分配合本公司之要求辦理相關事宜。</w:t>
            </w:r>
          </w:p>
          <w:p w:rsidR="0051443A" w:rsidRPr="002E7541" w:rsidRDefault="0051443A" w:rsidP="0051443A">
            <w:pPr>
              <w:ind w:left="-108" w:firstLine="480"/>
              <w:jc w:val="both"/>
              <w:rPr>
                <w:rFonts w:ascii="標楷體" w:eastAsia="標楷體" w:hAnsi="標楷體"/>
                <w:color w:val="000000"/>
              </w:rPr>
            </w:pPr>
            <w:r w:rsidRPr="002E7541">
              <w:rPr>
                <w:rFonts w:ascii="標楷體" w:eastAsia="標楷體" w:hAnsi="標楷體" w:hint="eastAsia"/>
                <w:color w:val="000000"/>
              </w:rPr>
              <w:t>（第一項第三款至第五款略）</w:t>
            </w:r>
          </w:p>
          <w:p w:rsidR="00012DDC" w:rsidRPr="002E7541" w:rsidRDefault="004B4602" w:rsidP="004B4602">
            <w:pPr>
              <w:ind w:left="-108" w:firstLine="480"/>
              <w:jc w:val="both"/>
              <w:rPr>
                <w:rFonts w:ascii="標楷體" w:eastAsia="標楷體" w:hAnsi="標楷體"/>
                <w:color w:val="000000"/>
              </w:rPr>
            </w:pPr>
            <w:r w:rsidRPr="002E7541">
              <w:rPr>
                <w:rFonts w:hint="eastAsia"/>
              </w:rPr>
              <w:t>（</w:t>
            </w:r>
            <w:r w:rsidRPr="002E7541">
              <w:rPr>
                <w:rFonts w:ascii="標楷體" w:eastAsia="標楷體" w:hAnsi="標楷體" w:hint="eastAsia"/>
                <w:color w:val="000000"/>
                <w:u w:val="single"/>
              </w:rPr>
              <w:t>六）蒐集第一上市</w:t>
            </w:r>
            <w:r w:rsidR="008E104B" w:rsidRPr="002E7541">
              <w:rPr>
                <w:rFonts w:ascii="標楷體" w:eastAsia="標楷體" w:hAnsi="標楷體" w:hint="eastAsia"/>
                <w:color w:val="000000"/>
                <w:u w:val="single"/>
              </w:rPr>
              <w:t>公司主要營運地之大眾傳播媒體報導對公司股東權益或證券價格有重大影響之資訊及協助其處理相關重大訊息之公開。如發現第一上</w:t>
            </w:r>
            <w:r w:rsidRPr="002E7541">
              <w:rPr>
                <w:rFonts w:ascii="標楷體" w:eastAsia="標楷體" w:hAnsi="標楷體" w:hint="eastAsia"/>
                <w:color w:val="000000"/>
                <w:u w:val="single"/>
              </w:rPr>
              <w:t>市</w:t>
            </w:r>
            <w:r w:rsidR="008E104B" w:rsidRPr="002E7541">
              <w:rPr>
                <w:rFonts w:ascii="標楷體" w:eastAsia="標楷體" w:hAnsi="標楷體" w:hint="eastAsia"/>
                <w:color w:val="000000"/>
                <w:u w:val="single"/>
              </w:rPr>
              <w:t>公司未能依規定及時發布重大訊息，應立即通知本</w:t>
            </w:r>
            <w:r w:rsidR="008E104B" w:rsidRPr="002E7541">
              <w:rPr>
                <w:rFonts w:ascii="標楷體" w:eastAsia="標楷體" w:hAnsi="標楷體"/>
                <w:color w:val="000000"/>
                <w:u w:val="single"/>
              </w:rPr>
              <w:t xml:space="preserve">   </w:t>
            </w:r>
            <w:r w:rsidRPr="002E7541">
              <w:rPr>
                <w:rFonts w:ascii="標楷體" w:eastAsia="標楷體" w:hAnsi="標楷體" w:hint="eastAsia"/>
                <w:color w:val="000000"/>
                <w:u w:val="single"/>
              </w:rPr>
              <w:t>公司</w:t>
            </w:r>
            <w:r w:rsidR="008E104B" w:rsidRPr="002E7541">
              <w:rPr>
                <w:rFonts w:ascii="標楷體" w:eastAsia="標楷體" w:hAnsi="標楷體" w:hint="eastAsia"/>
                <w:color w:val="000000"/>
                <w:u w:val="single"/>
              </w:rPr>
              <w:t>。</w:t>
            </w:r>
          </w:p>
        </w:tc>
        <w:tc>
          <w:tcPr>
            <w:tcW w:w="3401" w:type="dxa"/>
          </w:tcPr>
          <w:p w:rsidR="008E104B" w:rsidRPr="002E7541" w:rsidRDefault="008E104B" w:rsidP="008E104B">
            <w:pPr>
              <w:jc w:val="both"/>
              <w:rPr>
                <w:rFonts w:ascii="標楷體" w:eastAsia="標楷體" w:hAnsi="標楷體"/>
                <w:color w:val="000000"/>
              </w:rPr>
            </w:pPr>
            <w:r w:rsidRPr="002E7541">
              <w:rPr>
                <w:rFonts w:ascii="標楷體" w:eastAsia="標楷體" w:hAnsi="標楷體" w:hint="eastAsia"/>
                <w:color w:val="000000"/>
              </w:rPr>
              <w:t>第二條</w:t>
            </w:r>
          </w:p>
          <w:p w:rsidR="00860DC2" w:rsidRPr="002E7541" w:rsidRDefault="00860DC2" w:rsidP="00860DC2">
            <w:pPr>
              <w:ind w:left="-108" w:firstLine="480"/>
              <w:jc w:val="both"/>
              <w:rPr>
                <w:rFonts w:ascii="標楷體" w:eastAsia="標楷體" w:hAnsi="標楷體"/>
              </w:rPr>
            </w:pPr>
            <w:r w:rsidRPr="002E7541">
              <w:rPr>
                <w:rFonts w:ascii="標楷體" w:eastAsia="標楷體" w:hAnsi="標楷體"/>
              </w:rPr>
              <w:t>主辦證券承銷商協助第一上市公司遵循中華民國相關法令規章，應履行以下職責：</w:t>
            </w:r>
          </w:p>
          <w:p w:rsidR="001917BE" w:rsidRDefault="001917BE" w:rsidP="001917BE">
            <w:pPr>
              <w:ind w:firstLineChars="150" w:firstLine="360"/>
              <w:jc w:val="both"/>
              <w:rPr>
                <w:rFonts w:ascii="標楷體" w:eastAsia="標楷體" w:hAnsi="標楷體"/>
              </w:rPr>
            </w:pPr>
            <w:r w:rsidRPr="001917BE">
              <w:rPr>
                <w:rFonts w:ascii="標楷體" w:eastAsia="標楷體" w:hAnsi="標楷體"/>
              </w:rPr>
              <w:t>（一）協助第一上市公司遵循中華民國證券法令、本公司章則暨公告事項及上市契約，應適時提供相關建議。</w:t>
            </w:r>
          </w:p>
          <w:p w:rsidR="000C4622" w:rsidRPr="002E7541" w:rsidRDefault="000C4622" w:rsidP="000C4622">
            <w:pPr>
              <w:ind w:firstLineChars="150" w:firstLine="360"/>
              <w:jc w:val="both"/>
              <w:rPr>
                <w:rFonts w:ascii="標楷體" w:eastAsia="標楷體" w:hAnsi="標楷體"/>
              </w:rPr>
            </w:pPr>
            <w:r w:rsidRPr="002E7541">
              <w:rPr>
                <w:rFonts w:ascii="標楷體" w:eastAsia="標楷體" w:hAnsi="標楷體"/>
              </w:rPr>
              <w:t>（二）於本公司對第一上市公司執行財務報告審閱、</w:t>
            </w:r>
            <w:r w:rsidRPr="002E7541">
              <w:rPr>
                <w:rFonts w:ascii="標楷體" w:eastAsia="標楷體" w:hAnsi="標楷體"/>
                <w:u w:val="single"/>
              </w:rPr>
              <w:t>平時及例外</w:t>
            </w:r>
            <w:r w:rsidRPr="002E7541">
              <w:rPr>
                <w:rFonts w:ascii="標楷體" w:eastAsia="標楷體" w:hAnsi="標楷體"/>
              </w:rPr>
              <w:t>管理等相關監理過程中，充分配合本公司之要求辦理相關事宜。</w:t>
            </w:r>
          </w:p>
          <w:p w:rsidR="0051443A" w:rsidRPr="002E7541" w:rsidRDefault="0051443A" w:rsidP="0051443A">
            <w:pPr>
              <w:ind w:left="-108" w:firstLine="480"/>
              <w:jc w:val="both"/>
              <w:rPr>
                <w:rFonts w:ascii="標楷體" w:eastAsia="標楷體" w:hAnsi="標楷體"/>
                <w:color w:val="000000"/>
              </w:rPr>
            </w:pPr>
            <w:r w:rsidRPr="002E7541">
              <w:rPr>
                <w:rFonts w:ascii="標楷體" w:eastAsia="標楷體" w:hAnsi="標楷體" w:hint="eastAsia"/>
                <w:color w:val="000000"/>
              </w:rPr>
              <w:t>（第一項第三款至第五款略）</w:t>
            </w:r>
          </w:p>
          <w:p w:rsidR="00012DDC" w:rsidRPr="002E7541" w:rsidRDefault="00012DDC" w:rsidP="008E104B">
            <w:pPr>
              <w:ind w:left="-108" w:firstLine="480"/>
              <w:jc w:val="both"/>
              <w:rPr>
                <w:rFonts w:ascii="標楷體" w:eastAsia="標楷體" w:hAnsi="標楷體"/>
                <w:color w:val="000000"/>
                <w:u w:val="single"/>
              </w:rPr>
            </w:pPr>
            <w:r w:rsidRPr="002E7541">
              <w:rPr>
                <w:rFonts w:ascii="標楷體" w:eastAsia="標楷體" w:hAnsi="標楷體" w:hint="eastAsia"/>
                <w:color w:val="000000"/>
                <w:u w:val="single"/>
              </w:rPr>
              <w:t>(</w:t>
            </w:r>
            <w:r w:rsidR="008E104B" w:rsidRPr="002E7541">
              <w:rPr>
                <w:rFonts w:ascii="標楷體" w:eastAsia="標楷體" w:hAnsi="標楷體" w:hint="eastAsia"/>
                <w:color w:val="000000"/>
                <w:u w:val="single"/>
              </w:rPr>
              <w:t>本款新增</w:t>
            </w:r>
            <w:r w:rsidRPr="002E7541">
              <w:rPr>
                <w:rFonts w:ascii="標楷體" w:eastAsia="標楷體" w:hAnsi="標楷體" w:hint="eastAsia"/>
                <w:color w:val="000000"/>
                <w:u w:val="single"/>
              </w:rPr>
              <w:t>)</w:t>
            </w:r>
          </w:p>
        </w:tc>
        <w:tc>
          <w:tcPr>
            <w:tcW w:w="2996" w:type="dxa"/>
          </w:tcPr>
          <w:p w:rsidR="0051443A" w:rsidRDefault="00EE475D" w:rsidP="00EE475D">
            <w:pPr>
              <w:ind w:left="396" w:hangingChars="165" w:hanging="396"/>
              <w:jc w:val="both"/>
              <w:rPr>
                <w:rFonts w:ascii="標楷體" w:eastAsia="標楷體" w:hAnsi="標楷體"/>
              </w:rPr>
            </w:pPr>
            <w:r>
              <w:rPr>
                <w:rFonts w:ascii="標楷體" w:eastAsia="標楷體" w:hAnsi="標楷體" w:hint="eastAsia"/>
              </w:rPr>
              <w:t>一、</w:t>
            </w:r>
            <w:r w:rsidR="00056B8A">
              <w:rPr>
                <w:rFonts w:ascii="標楷體" w:eastAsia="標楷體" w:hAnsi="標楷體" w:hint="eastAsia"/>
              </w:rPr>
              <w:t>第一款及</w:t>
            </w:r>
            <w:r w:rsidR="0051443A">
              <w:rPr>
                <w:rFonts w:ascii="標楷體" w:eastAsia="標楷體" w:hAnsi="標楷體" w:hint="eastAsia"/>
              </w:rPr>
              <w:t>第二款文字修正。</w:t>
            </w:r>
          </w:p>
          <w:p w:rsidR="00EE475D" w:rsidRDefault="0051443A" w:rsidP="00EE475D">
            <w:pPr>
              <w:ind w:left="422" w:hangingChars="176" w:hanging="422"/>
              <w:jc w:val="both"/>
              <w:rPr>
                <w:rFonts w:ascii="標楷體" w:eastAsia="標楷體" w:hAnsi="標楷體"/>
              </w:rPr>
            </w:pPr>
            <w:r>
              <w:rPr>
                <w:rFonts w:ascii="標楷體" w:eastAsia="標楷體" w:hAnsi="標楷體" w:hint="eastAsia"/>
              </w:rPr>
              <w:t>二</w:t>
            </w:r>
            <w:r w:rsidR="00BB6093" w:rsidRPr="00BB6093">
              <w:rPr>
                <w:rFonts w:ascii="標楷體" w:eastAsia="標楷體" w:hAnsi="標楷體" w:hint="eastAsia"/>
              </w:rPr>
              <w:t>、新增第六款</w:t>
            </w:r>
            <w:r>
              <w:rPr>
                <w:rFonts w:ascii="標楷體" w:eastAsia="標楷體" w:hAnsi="標楷體" w:hint="eastAsia"/>
              </w:rPr>
              <w:t>。</w:t>
            </w:r>
            <w:r w:rsidR="00BB6093" w:rsidRPr="00BB6093">
              <w:rPr>
                <w:rFonts w:ascii="標楷體" w:eastAsia="標楷體" w:hAnsi="標楷體" w:hint="eastAsia"/>
              </w:rPr>
              <w:t>為強化追</w:t>
            </w:r>
          </w:p>
          <w:p w:rsidR="00012DDC" w:rsidRPr="00DD5EEE" w:rsidRDefault="00BB6093" w:rsidP="00EE475D">
            <w:pPr>
              <w:ind w:leftChars="175" w:left="420" w:firstLineChars="18" w:firstLine="43"/>
              <w:jc w:val="both"/>
              <w:rPr>
                <w:rFonts w:ascii="標楷體" w:eastAsia="標楷體" w:hAnsi="標楷體"/>
              </w:rPr>
            </w:pPr>
            <w:proofErr w:type="gramStart"/>
            <w:r w:rsidRPr="00BB6093">
              <w:rPr>
                <w:rFonts w:ascii="標楷體" w:eastAsia="標楷體" w:hAnsi="標楷體" w:hint="eastAsia"/>
              </w:rPr>
              <w:t>蹤</w:t>
            </w:r>
            <w:proofErr w:type="gramEnd"/>
            <w:r w:rsidRPr="00BB6093">
              <w:rPr>
                <w:rFonts w:ascii="標楷體" w:eastAsia="標楷體" w:hAnsi="標楷體" w:hint="eastAsia"/>
              </w:rPr>
              <w:t>第一上</w:t>
            </w:r>
            <w:r>
              <w:rPr>
                <w:rFonts w:ascii="標楷體" w:eastAsia="標楷體" w:hAnsi="標楷體" w:hint="eastAsia"/>
              </w:rPr>
              <w:t>市</w:t>
            </w:r>
            <w:r w:rsidRPr="00BB6093">
              <w:rPr>
                <w:rFonts w:ascii="標楷體" w:eastAsia="標楷體" w:hAnsi="標楷體" w:hint="eastAsia"/>
              </w:rPr>
              <w:t>公司主要營運地之大眾傳播媒體資訊，</w:t>
            </w:r>
            <w:proofErr w:type="gramStart"/>
            <w:r w:rsidRPr="00BB6093">
              <w:rPr>
                <w:rFonts w:ascii="標楷體" w:eastAsia="標楷體" w:hAnsi="標楷體" w:hint="eastAsia"/>
              </w:rPr>
              <w:t>爰</w:t>
            </w:r>
            <w:proofErr w:type="gramEnd"/>
            <w:r w:rsidRPr="00BB6093">
              <w:rPr>
                <w:rFonts w:ascii="標楷體" w:eastAsia="標楷體" w:hAnsi="標楷體" w:hint="eastAsia"/>
              </w:rPr>
              <w:t>增訂規範主辦證券</w:t>
            </w:r>
            <w:r>
              <w:rPr>
                <w:rFonts w:ascii="標楷體" w:eastAsia="標楷體" w:hAnsi="標楷體" w:hint="eastAsia"/>
              </w:rPr>
              <w:t>承銷</w:t>
            </w:r>
            <w:r w:rsidRPr="00BB6093">
              <w:rPr>
                <w:rFonts w:ascii="標楷體" w:eastAsia="標楷體" w:hAnsi="標楷體" w:hint="eastAsia"/>
              </w:rPr>
              <w:t>商應蒐集及協助第一上</w:t>
            </w:r>
            <w:r>
              <w:rPr>
                <w:rFonts w:ascii="標楷體" w:eastAsia="標楷體" w:hAnsi="標楷體" w:hint="eastAsia"/>
              </w:rPr>
              <w:t>市</w:t>
            </w:r>
            <w:r w:rsidRPr="00BB6093">
              <w:rPr>
                <w:rFonts w:ascii="標楷體" w:eastAsia="標楷體" w:hAnsi="標楷體" w:hint="eastAsia"/>
              </w:rPr>
              <w:t>公司處理相關重大訊息之發布。若主辦證券</w:t>
            </w:r>
            <w:r>
              <w:rPr>
                <w:rFonts w:ascii="標楷體" w:eastAsia="標楷體" w:hAnsi="標楷體" w:hint="eastAsia"/>
              </w:rPr>
              <w:t>承銷</w:t>
            </w:r>
            <w:r w:rsidRPr="00BB6093">
              <w:rPr>
                <w:rFonts w:ascii="標楷體" w:eastAsia="標楷體" w:hAnsi="標楷體" w:hint="eastAsia"/>
              </w:rPr>
              <w:t>商發現第一上</w:t>
            </w:r>
            <w:r>
              <w:rPr>
                <w:rFonts w:ascii="標楷體" w:eastAsia="標楷體" w:hAnsi="標楷體" w:hint="eastAsia"/>
              </w:rPr>
              <w:t>市</w:t>
            </w:r>
            <w:r w:rsidRPr="00BB6093">
              <w:rPr>
                <w:rFonts w:ascii="標楷體" w:eastAsia="標楷體" w:hAnsi="標楷體" w:hint="eastAsia"/>
              </w:rPr>
              <w:t>公司未能依規定及時發布重大訊息，應立即通知本</w:t>
            </w:r>
            <w:r>
              <w:rPr>
                <w:rFonts w:ascii="標楷體" w:eastAsia="標楷體" w:hAnsi="標楷體" w:hint="eastAsia"/>
              </w:rPr>
              <w:t>公司</w:t>
            </w:r>
            <w:r w:rsidRPr="00BB6093">
              <w:rPr>
                <w:rFonts w:ascii="標楷體" w:eastAsia="標楷體" w:hAnsi="標楷體" w:hint="eastAsia"/>
              </w:rPr>
              <w:t>。</w:t>
            </w:r>
          </w:p>
        </w:tc>
      </w:tr>
      <w:tr w:rsidR="00012DDC" w:rsidTr="000853B2">
        <w:tc>
          <w:tcPr>
            <w:tcW w:w="3402" w:type="dxa"/>
          </w:tcPr>
          <w:p w:rsidR="00012DDC" w:rsidRPr="00DD5EEE" w:rsidRDefault="00012DDC" w:rsidP="00DD5EEE">
            <w:pPr>
              <w:jc w:val="both"/>
              <w:rPr>
                <w:rFonts w:ascii="標楷體" w:eastAsia="標楷體" w:hAnsi="標楷體"/>
                <w:color w:val="000000"/>
              </w:rPr>
            </w:pPr>
            <w:r w:rsidRPr="00DD5EEE">
              <w:rPr>
                <w:rFonts w:ascii="標楷體" w:eastAsia="標楷體" w:hAnsi="標楷體" w:hint="eastAsia"/>
                <w:color w:val="000000"/>
              </w:rPr>
              <w:t>第</w:t>
            </w:r>
            <w:r w:rsidR="004B4602">
              <w:rPr>
                <w:rFonts w:ascii="標楷體" w:eastAsia="標楷體" w:hAnsi="標楷體" w:hint="eastAsia"/>
                <w:color w:val="000000"/>
              </w:rPr>
              <w:t>三</w:t>
            </w:r>
            <w:r w:rsidRPr="00DD5EEE">
              <w:rPr>
                <w:rFonts w:ascii="標楷體" w:eastAsia="標楷體" w:hAnsi="標楷體" w:hint="eastAsia"/>
                <w:color w:val="000000"/>
              </w:rPr>
              <w:t>條</w:t>
            </w:r>
          </w:p>
          <w:p w:rsidR="004B4602" w:rsidRPr="00C7346A" w:rsidRDefault="004B4602" w:rsidP="004B4602">
            <w:pPr>
              <w:pStyle w:val="HTML"/>
              <w:ind w:firstLineChars="200" w:firstLine="480"/>
              <w:jc w:val="both"/>
              <w:rPr>
                <w:rFonts w:ascii="標楷體" w:eastAsia="標楷體" w:hAnsi="標楷體" w:cs="Times New Roman"/>
                <w:color w:val="auto"/>
                <w:kern w:val="2"/>
              </w:rPr>
            </w:pPr>
            <w:r w:rsidRPr="00C7346A">
              <w:rPr>
                <w:rFonts w:ascii="標楷體" w:eastAsia="標楷體" w:hAnsi="標楷體" w:cs="Times New Roman"/>
                <w:color w:val="auto"/>
                <w:kern w:val="2"/>
              </w:rPr>
              <w:lastRenderedPageBreak/>
              <w:t>主辦證券承銷商與第一上市公司訂定之委任契約，其內容至少應包括下列事項：</w:t>
            </w:r>
          </w:p>
          <w:p w:rsidR="004B4602" w:rsidRPr="00C7346A" w:rsidRDefault="004B4602" w:rsidP="004B4602">
            <w:pPr>
              <w:pStyle w:val="HTML"/>
              <w:ind w:firstLineChars="200" w:firstLine="480"/>
              <w:jc w:val="both"/>
              <w:rPr>
                <w:rFonts w:ascii="標楷體" w:eastAsia="標楷體" w:hAnsi="標楷體" w:cs="Times New Roman"/>
                <w:color w:val="auto"/>
                <w:kern w:val="2"/>
              </w:rPr>
            </w:pPr>
            <w:r w:rsidRPr="004B4602">
              <w:rPr>
                <w:rFonts w:ascii="標楷體" w:eastAsia="標楷體" w:hAnsi="標楷體" w:cs="Times New Roman"/>
                <w:color w:val="auto"/>
                <w:kern w:val="2"/>
              </w:rPr>
              <w:t>（一）委任契約存續期間為第一上市公司之</w:t>
            </w:r>
            <w:r w:rsidR="009266C7">
              <w:rPr>
                <w:rFonts w:ascii="標楷體" w:eastAsia="標楷體" w:hAnsi="標楷體" w:cs="Times New Roman" w:hint="eastAsia"/>
                <w:color w:val="auto"/>
                <w:kern w:val="2"/>
              </w:rPr>
              <w:t>股</w:t>
            </w:r>
            <w:r w:rsidR="009266C7" w:rsidRPr="009266C7">
              <w:rPr>
                <w:rFonts w:ascii="標楷體" w:eastAsia="標楷體" w:hAnsi="標楷體" w:cs="Times New Roman" w:hint="eastAsia"/>
                <w:color w:val="auto"/>
                <w:kern w:val="2"/>
              </w:rPr>
              <w:t>票</w:t>
            </w:r>
            <w:r w:rsidR="009266C7" w:rsidRPr="00137605">
              <w:rPr>
                <w:rFonts w:ascii="標楷體" w:eastAsia="標楷體" w:hAnsi="標楷體" w:cs="Times New Roman" w:hint="eastAsia"/>
                <w:color w:val="auto"/>
                <w:kern w:val="2"/>
                <w:u w:val="single"/>
              </w:rPr>
              <w:t>初次</w:t>
            </w:r>
            <w:r w:rsidRPr="003C44F4">
              <w:rPr>
                <w:rFonts w:ascii="標楷體" w:eastAsia="標楷體" w:hAnsi="標楷體" w:cs="Times New Roman"/>
                <w:color w:val="auto"/>
                <w:kern w:val="2"/>
              </w:rPr>
              <w:t>上市</w:t>
            </w:r>
            <w:r w:rsidR="009266C7" w:rsidRPr="003C44F4">
              <w:rPr>
                <w:rFonts w:ascii="標楷體" w:eastAsia="標楷體" w:hAnsi="標楷體" w:cs="Times New Roman" w:hint="eastAsia"/>
                <w:color w:val="auto"/>
                <w:kern w:val="2"/>
              </w:rPr>
              <w:t>掛牌</w:t>
            </w:r>
            <w:r w:rsidRPr="003C44F4">
              <w:rPr>
                <w:rFonts w:ascii="標楷體" w:eastAsia="標楷體" w:hAnsi="標楷體" w:cs="Times New Roman"/>
                <w:color w:val="auto"/>
                <w:kern w:val="2"/>
              </w:rPr>
              <w:t>日起</w:t>
            </w:r>
            <w:r w:rsidR="003C44F4" w:rsidRPr="003C44F4">
              <w:rPr>
                <w:rFonts w:ascii="標楷體" w:eastAsia="標楷體" w:hAnsi="標楷體" w:cs="Times New Roman"/>
                <w:color w:val="auto"/>
                <w:kern w:val="2"/>
              </w:rPr>
              <w:t>至其後二個會計年度止</w:t>
            </w:r>
            <w:r w:rsidR="00137605" w:rsidRPr="00137605">
              <w:rPr>
                <w:rFonts w:ascii="標楷體" w:eastAsia="標楷體" w:hAnsi="標楷體" w:cs="Times New Roman"/>
                <w:color w:val="auto"/>
                <w:kern w:val="2"/>
                <w:u w:val="single"/>
              </w:rPr>
              <w:t>；</w:t>
            </w:r>
            <w:r w:rsidR="00137605" w:rsidRPr="009D696E">
              <w:rPr>
                <w:rFonts w:ascii="標楷體" w:eastAsia="標楷體" w:hAnsi="標楷體" w:cs="Times New Roman" w:hint="eastAsia"/>
                <w:color w:val="auto"/>
                <w:kern w:val="2"/>
                <w:u w:val="single"/>
              </w:rPr>
              <w:t>如係</w:t>
            </w:r>
            <w:r w:rsidR="009266C7" w:rsidRPr="009D696E">
              <w:rPr>
                <w:rFonts w:ascii="標楷體" w:eastAsia="標楷體" w:hAnsi="標楷體" w:hint="eastAsia"/>
                <w:color w:val="auto"/>
                <w:u w:val="single"/>
              </w:rPr>
              <w:t>辦理</w:t>
            </w:r>
            <w:r w:rsidR="00F87E90" w:rsidRPr="009D696E">
              <w:rPr>
                <w:rFonts w:ascii="標楷體" w:eastAsia="標楷體" w:hAnsi="標楷體" w:hint="eastAsia"/>
                <w:color w:val="auto"/>
                <w:u w:val="single"/>
              </w:rPr>
              <w:t>外國發行人募集與發行有價證券處理準則（以下簡稱「外募發準則」）</w:t>
            </w:r>
            <w:r w:rsidR="009266C7" w:rsidRPr="009D696E">
              <w:rPr>
                <w:rFonts w:ascii="標楷體" w:eastAsia="標楷體" w:hAnsi="標楷體" w:hint="eastAsia"/>
                <w:color w:val="auto"/>
                <w:u w:val="single"/>
              </w:rPr>
              <w:t>第六條第一項第一款至第三款案件</w:t>
            </w:r>
            <w:r w:rsidR="00137605" w:rsidRPr="009D696E">
              <w:rPr>
                <w:rFonts w:ascii="標楷體" w:eastAsia="標楷體" w:hAnsi="標楷體" w:hint="eastAsia"/>
                <w:color w:val="auto"/>
                <w:u w:val="single"/>
              </w:rPr>
              <w:t>，則為</w:t>
            </w:r>
            <w:r w:rsidR="00BB6093" w:rsidRPr="009D696E">
              <w:rPr>
                <w:rFonts w:ascii="標楷體" w:eastAsia="標楷體" w:hAnsi="標楷體" w:hint="eastAsia"/>
                <w:color w:val="auto"/>
                <w:u w:val="single"/>
              </w:rPr>
              <w:t>募集</w:t>
            </w:r>
            <w:r w:rsidR="00503612" w:rsidRPr="009D696E">
              <w:rPr>
                <w:rFonts w:ascii="標楷體" w:eastAsia="標楷體" w:hAnsi="標楷體" w:hint="eastAsia"/>
                <w:color w:val="auto"/>
                <w:u w:val="single"/>
              </w:rPr>
              <w:t>完成</w:t>
            </w:r>
            <w:r w:rsidR="009266C7" w:rsidRPr="009D696E">
              <w:rPr>
                <w:rFonts w:ascii="標楷體" w:eastAsia="標楷體" w:hAnsi="標楷體" w:hint="eastAsia"/>
                <w:color w:val="auto"/>
                <w:u w:val="single"/>
              </w:rPr>
              <w:t>年度</w:t>
            </w:r>
            <w:r w:rsidRPr="009D696E">
              <w:rPr>
                <w:rFonts w:ascii="標楷體" w:eastAsia="標楷體" w:hAnsi="標楷體" w:cs="Times New Roman"/>
                <w:color w:val="auto"/>
                <w:kern w:val="2"/>
                <w:u w:val="single"/>
              </w:rPr>
              <w:t>至其後二個會計年度止</w:t>
            </w:r>
            <w:r w:rsidRPr="00EA284F">
              <w:rPr>
                <w:rFonts w:ascii="標楷體" w:eastAsia="標楷體" w:hAnsi="標楷體" w:cs="Times New Roman"/>
                <w:color w:val="auto"/>
                <w:kern w:val="2"/>
              </w:rPr>
              <w:t>。</w:t>
            </w:r>
          </w:p>
          <w:p w:rsidR="00583470" w:rsidRDefault="00012DDC">
            <w:pPr>
              <w:ind w:left="474"/>
              <w:jc w:val="both"/>
              <w:rPr>
                <w:rFonts w:ascii="標楷體" w:eastAsia="標楷體" w:hAnsi="標楷體"/>
                <w:color w:val="000000"/>
              </w:rPr>
            </w:pPr>
            <w:r w:rsidRPr="00DD5EEE">
              <w:rPr>
                <w:rFonts w:ascii="標楷體" w:eastAsia="標楷體" w:hAnsi="標楷體" w:hint="eastAsia"/>
                <w:color w:val="000000"/>
              </w:rPr>
              <w:t>(以下略)</w:t>
            </w:r>
          </w:p>
        </w:tc>
        <w:tc>
          <w:tcPr>
            <w:tcW w:w="3401" w:type="dxa"/>
          </w:tcPr>
          <w:p w:rsidR="00012DDC" w:rsidRPr="00DD5EEE" w:rsidRDefault="00012DDC" w:rsidP="00DD5EEE">
            <w:pPr>
              <w:ind w:left="-72"/>
              <w:jc w:val="both"/>
              <w:rPr>
                <w:rFonts w:ascii="標楷體" w:eastAsia="標楷體" w:hAnsi="標楷體"/>
                <w:color w:val="000000"/>
              </w:rPr>
            </w:pPr>
            <w:r w:rsidRPr="00DD5EEE">
              <w:rPr>
                <w:rFonts w:ascii="標楷體" w:eastAsia="標楷體" w:hAnsi="標楷體" w:hint="eastAsia"/>
                <w:color w:val="000000"/>
              </w:rPr>
              <w:lastRenderedPageBreak/>
              <w:t>第</w:t>
            </w:r>
            <w:r w:rsidR="004B4602">
              <w:rPr>
                <w:rFonts w:ascii="標楷體" w:eastAsia="標楷體" w:hAnsi="標楷體" w:hint="eastAsia"/>
                <w:color w:val="000000"/>
              </w:rPr>
              <w:t>三</w:t>
            </w:r>
            <w:r w:rsidRPr="00DD5EEE">
              <w:rPr>
                <w:rFonts w:ascii="標楷體" w:eastAsia="標楷體" w:hAnsi="標楷體" w:hint="eastAsia"/>
                <w:color w:val="000000"/>
              </w:rPr>
              <w:t>條</w:t>
            </w:r>
          </w:p>
          <w:p w:rsidR="004B4602" w:rsidRPr="00C7346A" w:rsidRDefault="004B4602" w:rsidP="004B4602">
            <w:pPr>
              <w:pStyle w:val="HTML"/>
              <w:ind w:firstLineChars="200" w:firstLine="480"/>
              <w:jc w:val="both"/>
              <w:rPr>
                <w:rFonts w:ascii="標楷體" w:eastAsia="標楷體" w:hAnsi="標楷體" w:cs="Times New Roman"/>
                <w:color w:val="auto"/>
                <w:kern w:val="2"/>
              </w:rPr>
            </w:pPr>
            <w:r w:rsidRPr="00C7346A">
              <w:rPr>
                <w:rFonts w:ascii="標楷體" w:eastAsia="標楷體" w:hAnsi="標楷體" w:cs="Times New Roman"/>
                <w:color w:val="auto"/>
                <w:kern w:val="2"/>
              </w:rPr>
              <w:lastRenderedPageBreak/>
              <w:t>主辦證券承銷商與第一上市公司訂定之委任契約，其內容至少應包括下列事項：</w:t>
            </w:r>
          </w:p>
          <w:p w:rsidR="004B4602" w:rsidRPr="00C7346A" w:rsidRDefault="004B4602" w:rsidP="004B4602">
            <w:pPr>
              <w:pStyle w:val="HTML"/>
              <w:ind w:firstLineChars="200" w:firstLine="480"/>
              <w:jc w:val="both"/>
              <w:rPr>
                <w:rFonts w:ascii="標楷體" w:eastAsia="標楷體" w:hAnsi="標楷體" w:cs="Times New Roman"/>
                <w:color w:val="auto"/>
                <w:kern w:val="2"/>
              </w:rPr>
            </w:pPr>
            <w:r w:rsidRPr="004B4602">
              <w:rPr>
                <w:rFonts w:ascii="標楷體" w:eastAsia="標楷體" w:hAnsi="標楷體" w:cs="Times New Roman"/>
                <w:color w:val="auto"/>
                <w:kern w:val="2"/>
              </w:rPr>
              <w:t>（一）委任契約存續期間為第一上市公司之</w:t>
            </w:r>
            <w:r w:rsidRPr="009266C7">
              <w:rPr>
                <w:rFonts w:ascii="標楷體" w:eastAsia="標楷體" w:hAnsi="標楷體" w:cs="Times New Roman"/>
                <w:color w:val="auto"/>
                <w:kern w:val="2"/>
              </w:rPr>
              <w:t>股票</w:t>
            </w:r>
            <w:r w:rsidRPr="003C44F4">
              <w:rPr>
                <w:rFonts w:ascii="標楷體" w:eastAsia="標楷體" w:hAnsi="標楷體" w:cs="Times New Roman"/>
                <w:color w:val="auto"/>
                <w:kern w:val="2"/>
              </w:rPr>
              <w:t>上市掛牌日起至其後二個會計</w:t>
            </w:r>
            <w:r w:rsidRPr="004B4602">
              <w:rPr>
                <w:rFonts w:ascii="標楷體" w:eastAsia="標楷體" w:hAnsi="標楷體" w:cs="Times New Roman"/>
                <w:color w:val="auto"/>
                <w:kern w:val="2"/>
              </w:rPr>
              <w:t>年度止。</w:t>
            </w:r>
          </w:p>
          <w:p w:rsidR="00583470" w:rsidRDefault="00012DDC">
            <w:pPr>
              <w:ind w:left="338"/>
              <w:jc w:val="both"/>
              <w:rPr>
                <w:rFonts w:ascii="標楷體" w:eastAsia="標楷體" w:hAnsi="標楷體"/>
                <w:color w:val="000000"/>
              </w:rPr>
            </w:pPr>
            <w:r w:rsidRPr="00DD5EEE">
              <w:rPr>
                <w:rFonts w:ascii="標楷體" w:eastAsia="標楷體" w:hAnsi="標楷體" w:hint="eastAsia"/>
                <w:color w:val="000000"/>
              </w:rPr>
              <w:t>(以下略)</w:t>
            </w:r>
          </w:p>
        </w:tc>
        <w:tc>
          <w:tcPr>
            <w:tcW w:w="2996" w:type="dxa"/>
          </w:tcPr>
          <w:p w:rsidR="00012DDC" w:rsidRDefault="000C4622" w:rsidP="00686164">
            <w:pPr>
              <w:jc w:val="both"/>
              <w:rPr>
                <w:rFonts w:ascii="標楷體" w:eastAsia="標楷體" w:hAnsi="標楷體"/>
              </w:rPr>
            </w:pPr>
            <w:r>
              <w:rPr>
                <w:rFonts w:ascii="標楷體" w:eastAsia="標楷體" w:hAnsi="標楷體" w:hint="eastAsia"/>
              </w:rPr>
              <w:lastRenderedPageBreak/>
              <w:t>配合第一條增修內容，</w:t>
            </w:r>
            <w:proofErr w:type="gramStart"/>
            <w:r w:rsidR="008223E5">
              <w:rPr>
                <w:rFonts w:ascii="標楷體" w:eastAsia="標楷體" w:hAnsi="標楷體" w:hint="eastAsia"/>
              </w:rPr>
              <w:t>爰</w:t>
            </w:r>
            <w:proofErr w:type="gramEnd"/>
            <w:r w:rsidR="008223E5">
              <w:rPr>
                <w:rFonts w:ascii="標楷體" w:eastAsia="標楷體" w:hAnsi="標楷體" w:hint="eastAsia"/>
              </w:rPr>
              <w:t>新</w:t>
            </w:r>
            <w:r w:rsidR="008223E5">
              <w:rPr>
                <w:rFonts w:ascii="標楷體" w:eastAsia="標楷體" w:hAnsi="標楷體" w:hint="eastAsia"/>
              </w:rPr>
              <w:lastRenderedPageBreak/>
              <w:t>增第一上市公司</w:t>
            </w:r>
            <w:r w:rsidR="00686164" w:rsidRPr="00B828D8">
              <w:rPr>
                <w:rFonts w:ascii="標楷體" w:eastAsia="標楷體" w:hAnsi="標楷體" w:hint="eastAsia"/>
              </w:rPr>
              <w:t>辦理</w:t>
            </w:r>
            <w:r w:rsidR="00686164">
              <w:rPr>
                <w:rFonts w:ascii="標楷體" w:eastAsia="標楷體" w:hAnsi="標楷體" w:hint="eastAsia"/>
              </w:rPr>
              <w:t>對外募集與發行案件者，</w:t>
            </w:r>
            <w:r w:rsidR="008223E5">
              <w:rPr>
                <w:rFonts w:ascii="標楷體" w:eastAsia="標楷體" w:hAnsi="標楷體" w:hint="eastAsia"/>
              </w:rPr>
              <w:t>應與主辦證券承銷商訂定委任契約之存續期間。</w:t>
            </w:r>
          </w:p>
        </w:tc>
      </w:tr>
      <w:tr w:rsidR="00012DDC" w:rsidTr="000853B2">
        <w:trPr>
          <w:trHeight w:val="2276"/>
        </w:trPr>
        <w:tc>
          <w:tcPr>
            <w:tcW w:w="3402" w:type="dxa"/>
          </w:tcPr>
          <w:p w:rsidR="00012DDC" w:rsidRPr="003541E4" w:rsidRDefault="00012DDC" w:rsidP="00DD2417">
            <w:pPr>
              <w:rPr>
                <w:rFonts w:ascii="標楷體" w:eastAsia="標楷體" w:hAnsi="標楷體"/>
                <w:color w:val="000000"/>
              </w:rPr>
            </w:pPr>
            <w:r w:rsidRPr="003541E4">
              <w:rPr>
                <w:rFonts w:ascii="標楷體" w:eastAsia="標楷體" w:hAnsi="標楷體" w:hint="eastAsia"/>
                <w:color w:val="000000"/>
              </w:rPr>
              <w:lastRenderedPageBreak/>
              <w:t>第</w:t>
            </w:r>
            <w:r w:rsidR="00FB78E0">
              <w:rPr>
                <w:rFonts w:ascii="標楷體" w:eastAsia="標楷體" w:hAnsi="標楷體" w:hint="eastAsia"/>
                <w:color w:val="000000"/>
              </w:rPr>
              <w:t>四</w:t>
            </w:r>
            <w:r w:rsidRPr="003541E4">
              <w:rPr>
                <w:rFonts w:ascii="標楷體" w:eastAsia="標楷體" w:hAnsi="標楷體" w:hint="eastAsia"/>
                <w:color w:val="000000"/>
              </w:rPr>
              <w:t>條</w:t>
            </w:r>
          </w:p>
          <w:p w:rsidR="00503612" w:rsidRPr="008A129E" w:rsidRDefault="00503612" w:rsidP="005036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rPr>
            </w:pPr>
            <w:r w:rsidRPr="008A129E">
              <w:rPr>
                <w:rFonts w:ascii="標楷體" w:eastAsia="標楷體" w:hAnsi="標楷體"/>
              </w:rPr>
              <w:t>第一上市公司於委任契約存續期間屆滿前，除因</w:t>
            </w:r>
            <w:r w:rsidRPr="00503612">
              <w:rPr>
                <w:rFonts w:ascii="標楷體" w:eastAsia="標楷體" w:hAnsi="標楷體" w:hint="eastAsia"/>
                <w:u w:val="single"/>
              </w:rPr>
              <w:t>原</w:t>
            </w:r>
            <w:r w:rsidRPr="008A129E">
              <w:rPr>
                <w:rFonts w:ascii="標楷體" w:eastAsia="標楷體" w:hAnsi="標楷體"/>
              </w:rPr>
              <w:t>主辦證券承銷商</w:t>
            </w:r>
            <w:proofErr w:type="gramStart"/>
            <w:r w:rsidRPr="008A129E">
              <w:rPr>
                <w:rFonts w:ascii="標楷體" w:eastAsia="標楷體" w:hAnsi="標楷體"/>
              </w:rPr>
              <w:t>怠</w:t>
            </w:r>
            <w:proofErr w:type="gramEnd"/>
            <w:r w:rsidRPr="008A129E">
              <w:rPr>
                <w:rFonts w:ascii="標楷體" w:eastAsia="標楷體" w:hAnsi="標楷體"/>
              </w:rPr>
              <w:t>於履行委任契約、雙方對於委任契約出現重大爭議或有其他正當理由向本公司申請，並經本公司同意者外，不得終止與</w:t>
            </w:r>
            <w:r w:rsidRPr="00503612">
              <w:rPr>
                <w:rFonts w:ascii="標楷體" w:eastAsia="標楷體" w:hAnsi="標楷體" w:hint="eastAsia"/>
                <w:u w:val="single"/>
              </w:rPr>
              <w:t>原</w:t>
            </w:r>
            <w:r w:rsidRPr="008A129E">
              <w:rPr>
                <w:rFonts w:ascii="標楷體" w:eastAsia="標楷體" w:hAnsi="標楷體"/>
              </w:rPr>
              <w:t>主辦證券承銷商之委任契約。</w:t>
            </w:r>
          </w:p>
          <w:p w:rsidR="00503612" w:rsidRPr="008A129E" w:rsidRDefault="00503612" w:rsidP="005036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rPr>
            </w:pPr>
            <w:r w:rsidRPr="008A129E">
              <w:rPr>
                <w:rFonts w:ascii="標楷體" w:eastAsia="標楷體" w:hAnsi="標楷體"/>
              </w:rPr>
              <w:t>第一上市公司依前項規定向本公司申請終止與</w:t>
            </w:r>
            <w:r w:rsidRPr="00503612">
              <w:rPr>
                <w:rFonts w:ascii="標楷體" w:eastAsia="標楷體" w:hAnsi="標楷體" w:hint="eastAsia"/>
                <w:u w:val="single"/>
              </w:rPr>
              <w:t>原</w:t>
            </w:r>
            <w:r w:rsidRPr="008A129E">
              <w:rPr>
                <w:rFonts w:ascii="標楷體" w:eastAsia="標楷體" w:hAnsi="標楷體"/>
              </w:rPr>
              <w:t>主辦證券承銷商之委任契約者，應以書面敘明終止契約之事由與接任繼續辦理協助法令遵循事宜之證券承銷商名稱，並檢附新任證券</w:t>
            </w:r>
            <w:proofErr w:type="gramStart"/>
            <w:r w:rsidRPr="008A129E">
              <w:rPr>
                <w:rFonts w:ascii="標楷體" w:eastAsia="標楷體" w:hAnsi="標楷體"/>
              </w:rPr>
              <w:t>承銷商願負</w:t>
            </w:r>
            <w:proofErr w:type="gramEnd"/>
            <w:r w:rsidRPr="008A129E">
              <w:rPr>
                <w:rFonts w:ascii="標楷體" w:eastAsia="標楷體" w:hAnsi="標楷體"/>
              </w:rPr>
              <w:t>主辦證券承銷商義務之承諾書及委任契約，且其委任期間不得短於原委任契約之剩餘存續期間。</w:t>
            </w:r>
          </w:p>
          <w:p w:rsidR="00012DDC" w:rsidRPr="00280019" w:rsidRDefault="00503612" w:rsidP="00503612">
            <w:pPr>
              <w:ind w:left="-108" w:firstLine="480"/>
              <w:jc w:val="both"/>
              <w:rPr>
                <w:rFonts w:ascii="標楷體" w:eastAsia="標楷體" w:hAnsi="標楷體"/>
                <w:color w:val="000000"/>
              </w:rPr>
            </w:pPr>
            <w:r w:rsidRPr="00280019">
              <w:rPr>
                <w:rFonts w:ascii="標楷體" w:eastAsia="標楷體" w:hAnsi="標楷體" w:hint="eastAsia"/>
                <w:color w:val="000000"/>
              </w:rPr>
              <w:t>(第三項、</w:t>
            </w:r>
            <w:proofErr w:type="gramStart"/>
            <w:r w:rsidRPr="00280019">
              <w:rPr>
                <w:rFonts w:ascii="標楷體" w:eastAsia="標楷體" w:hAnsi="標楷體" w:hint="eastAsia"/>
                <w:color w:val="000000"/>
              </w:rPr>
              <w:t>第四項略</w:t>
            </w:r>
            <w:proofErr w:type="gramEnd"/>
            <w:r w:rsidRPr="00280019">
              <w:rPr>
                <w:rFonts w:ascii="標楷體" w:eastAsia="標楷體" w:hAnsi="標楷體" w:hint="eastAsia"/>
                <w:color w:val="000000"/>
              </w:rPr>
              <w:t>)</w:t>
            </w:r>
          </w:p>
          <w:p w:rsidR="00503612" w:rsidRPr="00503612" w:rsidRDefault="00503612" w:rsidP="00860DC2">
            <w:pPr>
              <w:pStyle w:val="HTML"/>
              <w:jc w:val="both"/>
              <w:rPr>
                <w:rFonts w:ascii="標楷體" w:eastAsia="標楷體" w:hAnsi="標楷體"/>
                <w:color w:val="000000"/>
              </w:rPr>
            </w:pPr>
            <w:r w:rsidRPr="00860DC2">
              <w:rPr>
                <w:rFonts w:ascii="標楷體" w:eastAsia="標楷體" w:hAnsi="標楷體"/>
                <w:color w:val="auto"/>
              </w:rPr>
              <w:t>第一上市公司未依第二項及第三項之規定委任其他證券承銷商辦理協助法令遵循事宜，</w:t>
            </w:r>
            <w:r w:rsidR="00137605" w:rsidRPr="00860DC2">
              <w:rPr>
                <w:rFonts w:ascii="標楷體" w:eastAsia="標楷體" w:hAnsi="標楷體" w:hint="eastAsia"/>
                <w:color w:val="auto"/>
                <w:u w:val="single"/>
              </w:rPr>
              <w:t>屬</w:t>
            </w:r>
            <w:r w:rsidRPr="00860DC2">
              <w:rPr>
                <w:rFonts w:ascii="標楷體" w:eastAsia="標楷體" w:hAnsi="標楷體" w:hint="eastAsia"/>
                <w:color w:val="auto"/>
                <w:u w:val="single"/>
              </w:rPr>
              <w:t>股票初次上市</w:t>
            </w:r>
            <w:r w:rsidR="00137605" w:rsidRPr="00860DC2">
              <w:rPr>
                <w:rFonts w:ascii="標楷體" w:eastAsia="標楷體" w:hAnsi="標楷體" w:hint="eastAsia"/>
                <w:color w:val="auto"/>
                <w:u w:val="single"/>
              </w:rPr>
              <w:t>應行</w:t>
            </w:r>
            <w:r w:rsidRPr="00860DC2">
              <w:rPr>
                <w:rFonts w:ascii="標楷體" w:eastAsia="標楷體" w:hAnsi="標楷體" w:hint="eastAsia"/>
                <w:color w:val="auto"/>
                <w:u w:val="single"/>
              </w:rPr>
              <w:t>委任者</w:t>
            </w:r>
            <w:r w:rsidR="00EA284F" w:rsidRPr="00860DC2">
              <w:rPr>
                <w:rFonts w:ascii="標楷體" w:eastAsia="標楷體" w:hAnsi="標楷體" w:hint="eastAsia"/>
                <w:color w:val="auto"/>
                <w:u w:val="single"/>
              </w:rPr>
              <w:t>，</w:t>
            </w:r>
            <w:r w:rsidRPr="00860DC2">
              <w:rPr>
                <w:rFonts w:ascii="標楷體" w:eastAsia="標楷體" w:hAnsi="標楷體"/>
                <w:color w:val="auto"/>
              </w:rPr>
              <w:t>視為「違反申請上市時出具之承</w:t>
            </w:r>
            <w:r w:rsidRPr="00860DC2">
              <w:rPr>
                <w:rFonts w:ascii="標楷體" w:eastAsia="標楷體" w:hAnsi="標楷體"/>
                <w:color w:val="auto"/>
              </w:rPr>
              <w:lastRenderedPageBreak/>
              <w:t>諾」</w:t>
            </w:r>
            <w:r w:rsidRPr="002E7541">
              <w:rPr>
                <w:rFonts w:ascii="標楷體" w:eastAsia="標楷體" w:hAnsi="標楷體"/>
                <w:color w:val="auto"/>
              </w:rPr>
              <w:t>，本公司得依營業細則第五十條</w:t>
            </w:r>
            <w:r w:rsidR="00860DC2" w:rsidRPr="002E7541">
              <w:rPr>
                <w:rFonts w:ascii="標楷體" w:eastAsia="標楷體" w:hAnsi="標楷體" w:hint="eastAsia"/>
                <w:color w:val="auto"/>
                <w:u w:val="single"/>
              </w:rPr>
              <w:t>之三</w:t>
            </w:r>
            <w:r w:rsidRPr="002E7541">
              <w:rPr>
                <w:rFonts w:ascii="標楷體" w:eastAsia="標楷體" w:hAnsi="標楷體"/>
                <w:color w:val="auto"/>
              </w:rPr>
              <w:t>第一項第</w:t>
            </w:r>
            <w:r w:rsidR="00860DC2" w:rsidRPr="002E7541">
              <w:rPr>
                <w:rFonts w:ascii="標楷體" w:eastAsia="標楷體" w:hAnsi="標楷體" w:hint="eastAsia"/>
                <w:color w:val="auto"/>
                <w:u w:val="single"/>
              </w:rPr>
              <w:t>六</w:t>
            </w:r>
            <w:r w:rsidRPr="002E7541">
              <w:rPr>
                <w:rFonts w:ascii="標楷體" w:eastAsia="標楷體" w:hAnsi="標楷體"/>
                <w:color w:val="auto"/>
              </w:rPr>
              <w:t>款規定，停止其上市有價證券之買賣</w:t>
            </w:r>
            <w:r w:rsidR="00860DC2" w:rsidRPr="002E7541">
              <w:rPr>
                <w:rFonts w:ascii="標楷體" w:eastAsia="標楷體" w:hAnsi="標楷體"/>
                <w:color w:val="auto"/>
              </w:rPr>
              <w:t>，</w:t>
            </w:r>
            <w:r w:rsidR="00860DC2" w:rsidRPr="009D696E">
              <w:rPr>
                <w:rFonts w:ascii="標楷體" w:eastAsia="標楷體" w:hAnsi="標楷體"/>
                <w:color w:val="auto"/>
                <w:u w:val="single"/>
              </w:rPr>
              <w:t>並報請主管機關備查</w:t>
            </w:r>
            <w:r w:rsidR="005E31BB" w:rsidRPr="009D696E">
              <w:rPr>
                <w:rFonts w:ascii="標楷體" w:eastAsia="標楷體" w:hAnsi="標楷體"/>
                <w:color w:val="auto"/>
                <w:u w:val="single"/>
              </w:rPr>
              <w:t>；</w:t>
            </w:r>
            <w:r w:rsidRPr="009D696E">
              <w:rPr>
                <w:rFonts w:ascii="標楷體" w:eastAsia="標楷體" w:hAnsi="標楷體" w:hint="eastAsia"/>
                <w:color w:val="auto"/>
                <w:u w:val="single"/>
              </w:rPr>
              <w:t>如</w:t>
            </w:r>
            <w:r w:rsidR="00137605" w:rsidRPr="009D696E">
              <w:rPr>
                <w:rFonts w:ascii="標楷體" w:eastAsia="標楷體" w:hAnsi="標楷體" w:hint="eastAsia"/>
                <w:color w:val="auto"/>
                <w:u w:val="single"/>
              </w:rPr>
              <w:t>屬</w:t>
            </w:r>
            <w:r w:rsidRPr="009D696E">
              <w:rPr>
                <w:rFonts w:ascii="標楷體" w:eastAsia="標楷體" w:hAnsi="標楷體" w:hint="eastAsia"/>
                <w:color w:val="auto"/>
                <w:u w:val="single"/>
              </w:rPr>
              <w:t>上市後辦理</w:t>
            </w:r>
            <w:proofErr w:type="gramStart"/>
            <w:r w:rsidRPr="009D696E">
              <w:rPr>
                <w:rFonts w:ascii="標楷體" w:eastAsia="標楷體" w:hAnsi="標楷體" w:hint="eastAsia"/>
                <w:color w:val="auto"/>
                <w:u w:val="single"/>
              </w:rPr>
              <w:t>外募發</w:t>
            </w:r>
            <w:proofErr w:type="gramEnd"/>
            <w:r w:rsidRPr="009D696E">
              <w:rPr>
                <w:rFonts w:ascii="標楷體" w:eastAsia="標楷體" w:hAnsi="標楷體" w:hint="eastAsia"/>
                <w:color w:val="auto"/>
                <w:u w:val="single"/>
              </w:rPr>
              <w:t>準則第六條第一項第一款至第三款案件</w:t>
            </w:r>
            <w:r w:rsidR="00137605" w:rsidRPr="009D696E">
              <w:rPr>
                <w:rFonts w:ascii="標楷體" w:eastAsia="標楷體" w:hAnsi="標楷體" w:hint="eastAsia"/>
                <w:color w:val="auto"/>
                <w:u w:val="single"/>
              </w:rPr>
              <w:t>應行</w:t>
            </w:r>
            <w:r w:rsidR="005E31BB" w:rsidRPr="009D696E">
              <w:rPr>
                <w:rFonts w:ascii="標楷體" w:eastAsia="標楷體" w:hAnsi="標楷體" w:hint="eastAsia"/>
                <w:color w:val="auto"/>
                <w:u w:val="single"/>
              </w:rPr>
              <w:t>委任者</w:t>
            </w:r>
            <w:r w:rsidRPr="009D696E">
              <w:rPr>
                <w:rFonts w:ascii="標楷體" w:eastAsia="標楷體" w:hAnsi="標楷體" w:hint="eastAsia"/>
                <w:color w:val="auto"/>
                <w:u w:val="single"/>
              </w:rPr>
              <w:t>，本公司得依</w:t>
            </w:r>
            <w:r w:rsidR="00F87E90" w:rsidRPr="009D696E">
              <w:rPr>
                <w:rFonts w:ascii="標楷體" w:eastAsia="標楷體" w:hAnsi="標楷體"/>
                <w:color w:val="auto"/>
                <w:u w:val="single"/>
              </w:rPr>
              <w:t>外國發行人</w:t>
            </w:r>
            <w:r w:rsidR="00085F77" w:rsidRPr="009D696E">
              <w:rPr>
                <w:rFonts w:ascii="標楷體" w:eastAsia="標楷體" w:hAnsi="標楷體" w:hint="eastAsia"/>
                <w:color w:val="auto"/>
                <w:u w:val="single"/>
              </w:rPr>
              <w:t>第一</w:t>
            </w:r>
            <w:r w:rsidR="005E31BB" w:rsidRPr="009D696E">
              <w:rPr>
                <w:rFonts w:ascii="標楷體" w:eastAsia="標楷體" w:hAnsi="標楷體" w:hint="eastAsia"/>
                <w:color w:val="auto"/>
                <w:u w:val="single"/>
              </w:rPr>
              <w:t>上市後管理作業辦法</w:t>
            </w:r>
            <w:r w:rsidR="00137605" w:rsidRPr="009D696E">
              <w:rPr>
                <w:rFonts w:ascii="標楷體" w:eastAsia="標楷體" w:hAnsi="標楷體" w:hint="eastAsia"/>
                <w:color w:val="auto"/>
                <w:u w:val="single"/>
              </w:rPr>
              <w:t>第三章</w:t>
            </w:r>
            <w:r w:rsidR="005E31BB" w:rsidRPr="009D696E">
              <w:rPr>
                <w:rFonts w:ascii="標楷體" w:eastAsia="標楷體" w:hAnsi="標楷體" w:hint="eastAsia"/>
                <w:color w:val="auto"/>
                <w:u w:val="single"/>
              </w:rPr>
              <w:t>規定，予以處置</w:t>
            </w:r>
            <w:r w:rsidR="005E31BB" w:rsidRPr="00860DC2">
              <w:rPr>
                <w:rFonts w:ascii="標楷體" w:eastAsia="標楷體" w:hAnsi="標楷體" w:hint="eastAsia"/>
                <w:color w:val="auto"/>
              </w:rPr>
              <w:t>。</w:t>
            </w:r>
          </w:p>
        </w:tc>
        <w:tc>
          <w:tcPr>
            <w:tcW w:w="3401" w:type="dxa"/>
          </w:tcPr>
          <w:p w:rsidR="00FB78E0" w:rsidRPr="003541E4" w:rsidRDefault="00FB78E0" w:rsidP="00FB78E0">
            <w:pPr>
              <w:rPr>
                <w:rFonts w:ascii="標楷體" w:eastAsia="標楷體" w:hAnsi="標楷體"/>
                <w:color w:val="000000"/>
              </w:rPr>
            </w:pPr>
            <w:r w:rsidRPr="003541E4">
              <w:rPr>
                <w:rFonts w:ascii="標楷體" w:eastAsia="標楷體" w:hAnsi="標楷體" w:hint="eastAsia"/>
                <w:color w:val="000000"/>
              </w:rPr>
              <w:lastRenderedPageBreak/>
              <w:t>第</w:t>
            </w:r>
            <w:r>
              <w:rPr>
                <w:rFonts w:ascii="標楷體" w:eastAsia="標楷體" w:hAnsi="標楷體" w:hint="eastAsia"/>
                <w:color w:val="000000"/>
              </w:rPr>
              <w:t>四</w:t>
            </w:r>
            <w:r w:rsidRPr="003541E4">
              <w:rPr>
                <w:rFonts w:ascii="標楷體" w:eastAsia="標楷體" w:hAnsi="標楷體" w:hint="eastAsia"/>
                <w:color w:val="000000"/>
              </w:rPr>
              <w:t>條</w:t>
            </w:r>
          </w:p>
          <w:p w:rsidR="00FB78E0" w:rsidRPr="008A129E" w:rsidRDefault="00FB78E0" w:rsidP="00FB7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rPr>
            </w:pPr>
            <w:r w:rsidRPr="008A129E">
              <w:rPr>
                <w:rFonts w:ascii="標楷體" w:eastAsia="標楷體" w:hAnsi="標楷體"/>
              </w:rPr>
              <w:t>第一上市公司於委任契約存續期間屆滿前，除因主辦證券承銷商</w:t>
            </w:r>
            <w:proofErr w:type="gramStart"/>
            <w:r w:rsidRPr="008A129E">
              <w:rPr>
                <w:rFonts w:ascii="標楷體" w:eastAsia="標楷體" w:hAnsi="標楷體"/>
              </w:rPr>
              <w:t>怠</w:t>
            </w:r>
            <w:proofErr w:type="gramEnd"/>
            <w:r w:rsidRPr="008A129E">
              <w:rPr>
                <w:rFonts w:ascii="標楷體" w:eastAsia="標楷體" w:hAnsi="標楷體"/>
              </w:rPr>
              <w:t>於履行委任契約、雙方對於委任契約出現重大爭議或有其他正當理由向本公司申請，並經本公司同意者外，不得終止與主辦證券承銷商之委任契約。</w:t>
            </w:r>
          </w:p>
          <w:p w:rsidR="00FB78E0" w:rsidRPr="008A129E" w:rsidRDefault="00FB78E0" w:rsidP="00FB7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rPr>
            </w:pPr>
            <w:r w:rsidRPr="008A129E">
              <w:rPr>
                <w:rFonts w:ascii="標楷體" w:eastAsia="標楷體" w:hAnsi="標楷體"/>
              </w:rPr>
              <w:t>第一上市公司依前項規定向本公司申請終止與主辦證券承銷商</w:t>
            </w:r>
            <w:proofErr w:type="gramStart"/>
            <w:r w:rsidRPr="000563D4">
              <w:rPr>
                <w:rFonts w:ascii="標楷體" w:eastAsia="標楷體" w:hAnsi="標楷體"/>
                <w:u w:val="single"/>
              </w:rPr>
              <w:t>商</w:t>
            </w:r>
            <w:proofErr w:type="gramEnd"/>
            <w:r w:rsidRPr="008A129E">
              <w:rPr>
                <w:rFonts w:ascii="標楷體" w:eastAsia="標楷體" w:hAnsi="標楷體"/>
              </w:rPr>
              <w:t>之委任契約者，應以書面敘明終止契約之事由與接任繼續辦理協助法令遵循事宜之證券承銷商名稱，並檢附新任證券</w:t>
            </w:r>
            <w:proofErr w:type="gramStart"/>
            <w:r w:rsidRPr="008A129E">
              <w:rPr>
                <w:rFonts w:ascii="標楷體" w:eastAsia="標楷體" w:hAnsi="標楷體"/>
              </w:rPr>
              <w:t>承銷商願負</w:t>
            </w:r>
            <w:proofErr w:type="gramEnd"/>
            <w:r w:rsidRPr="008A129E">
              <w:rPr>
                <w:rFonts w:ascii="標楷體" w:eastAsia="標楷體" w:hAnsi="標楷體"/>
              </w:rPr>
              <w:t>主辦證券承銷商義務之承諾書及委任契約，且其委任期間不得短於原委任契約之剩餘存續期間。</w:t>
            </w:r>
          </w:p>
          <w:p w:rsidR="00280019" w:rsidRDefault="00280019" w:rsidP="00503612">
            <w:pPr>
              <w:ind w:firstLineChars="200" w:firstLine="480"/>
              <w:jc w:val="both"/>
              <w:rPr>
                <w:rFonts w:ascii="標楷體" w:eastAsia="標楷體" w:hAnsi="標楷體"/>
              </w:rPr>
            </w:pPr>
          </w:p>
          <w:p w:rsidR="00012DDC" w:rsidRPr="003541E4" w:rsidRDefault="00FB78E0" w:rsidP="00503612">
            <w:pPr>
              <w:ind w:firstLineChars="200" w:firstLine="480"/>
              <w:jc w:val="both"/>
              <w:rPr>
                <w:rFonts w:ascii="標楷體" w:eastAsia="標楷體" w:hAnsi="標楷體"/>
                <w:color w:val="000000"/>
              </w:rPr>
            </w:pPr>
            <w:r w:rsidRPr="00503612">
              <w:rPr>
                <w:rFonts w:ascii="標楷體" w:eastAsia="標楷體" w:hAnsi="標楷體"/>
              </w:rPr>
              <w:t>第一上市公司未依第二項及第三項之規定委任其他證券承銷商辦理協助法令遵循事宜，視為「違反申請上市時出具之承諾」，本公司得依營業細</w:t>
            </w:r>
            <w:r w:rsidRPr="00503612">
              <w:rPr>
                <w:rFonts w:ascii="標楷體" w:eastAsia="標楷體" w:hAnsi="標楷體"/>
              </w:rPr>
              <w:lastRenderedPageBreak/>
              <w:t>則第五十條第一項第</w:t>
            </w:r>
            <w:r w:rsidRPr="00860DC2">
              <w:rPr>
                <w:rFonts w:ascii="標楷體" w:eastAsia="標楷體" w:hAnsi="標楷體"/>
                <w:u w:val="single"/>
              </w:rPr>
              <w:t>七</w:t>
            </w:r>
            <w:r w:rsidRPr="00503612">
              <w:rPr>
                <w:rFonts w:ascii="標楷體" w:eastAsia="標楷體" w:hAnsi="標楷體"/>
              </w:rPr>
              <w:t>款規定，</w:t>
            </w:r>
            <w:r w:rsidRPr="00860DC2">
              <w:rPr>
                <w:rFonts w:ascii="標楷體" w:eastAsia="標楷體" w:hAnsi="標楷體"/>
                <w:u w:val="single"/>
              </w:rPr>
              <w:t>報經主管機關核准後，</w:t>
            </w:r>
            <w:r w:rsidRPr="00503612">
              <w:rPr>
                <w:rFonts w:ascii="標楷體" w:eastAsia="標楷體" w:hAnsi="標楷體"/>
              </w:rPr>
              <w:t>停止其上市有價證券之買賣</w:t>
            </w:r>
            <w:r w:rsidRPr="00EA284F">
              <w:rPr>
                <w:rFonts w:ascii="標楷體" w:eastAsia="標楷體" w:hAnsi="標楷體"/>
              </w:rPr>
              <w:t>。</w:t>
            </w:r>
          </w:p>
        </w:tc>
        <w:tc>
          <w:tcPr>
            <w:tcW w:w="2996" w:type="dxa"/>
          </w:tcPr>
          <w:p w:rsidR="00012DDC" w:rsidRPr="00280019" w:rsidRDefault="00280019" w:rsidP="00EE475D">
            <w:pPr>
              <w:ind w:left="396" w:hangingChars="165" w:hanging="396"/>
              <w:jc w:val="both"/>
              <w:rPr>
                <w:rFonts w:ascii="標楷體" w:eastAsia="標楷體" w:hAnsi="標楷體"/>
              </w:rPr>
            </w:pPr>
            <w:r>
              <w:rPr>
                <w:rFonts w:ascii="標楷體" w:eastAsia="標楷體" w:hAnsi="標楷體" w:hint="eastAsia"/>
              </w:rPr>
              <w:lastRenderedPageBreak/>
              <w:t>一、</w:t>
            </w:r>
            <w:r w:rsidR="008223E5" w:rsidRPr="00280019">
              <w:rPr>
                <w:rFonts w:ascii="標楷體" w:eastAsia="標楷體" w:hAnsi="標楷體" w:hint="eastAsia"/>
              </w:rPr>
              <w:t>第一項及第二項文字修正。</w:t>
            </w:r>
          </w:p>
          <w:p w:rsidR="00280019" w:rsidRPr="00280019" w:rsidRDefault="00280019" w:rsidP="00425E7A">
            <w:pPr>
              <w:ind w:left="422" w:hangingChars="176" w:hanging="422"/>
              <w:jc w:val="both"/>
              <w:rPr>
                <w:rFonts w:ascii="標楷體" w:eastAsia="標楷體" w:hAnsi="標楷體"/>
              </w:rPr>
            </w:pPr>
            <w:r>
              <w:rPr>
                <w:rFonts w:ascii="標楷體" w:eastAsia="標楷體" w:hAnsi="標楷體" w:hint="eastAsia"/>
              </w:rPr>
              <w:t>二、</w:t>
            </w:r>
            <w:r w:rsidR="001A64C4">
              <w:rPr>
                <w:rFonts w:ascii="標楷體" w:eastAsia="標楷體" w:hAnsi="標楷體" w:hint="eastAsia"/>
              </w:rPr>
              <w:t>配合第一條增修內容，</w:t>
            </w:r>
            <w:proofErr w:type="gramStart"/>
            <w:r w:rsidR="001A64C4">
              <w:rPr>
                <w:rFonts w:ascii="標楷體" w:eastAsia="標楷體" w:hAnsi="標楷體" w:hint="eastAsia"/>
              </w:rPr>
              <w:t>爰</w:t>
            </w:r>
            <w:proofErr w:type="gramEnd"/>
            <w:r w:rsidR="00425E7A">
              <w:rPr>
                <w:rFonts w:ascii="標楷體" w:eastAsia="標楷體" w:hAnsi="標楷體" w:hint="eastAsia"/>
              </w:rPr>
              <w:t>增修</w:t>
            </w:r>
            <w:r w:rsidR="001A64C4">
              <w:rPr>
                <w:rFonts w:ascii="標楷體" w:eastAsia="標楷體" w:hAnsi="標楷體" w:hint="eastAsia"/>
              </w:rPr>
              <w:t>第五項，</w:t>
            </w:r>
            <w:r w:rsidR="003F5580">
              <w:rPr>
                <w:rFonts w:ascii="標楷體" w:eastAsia="標楷體" w:hAnsi="標楷體" w:hint="eastAsia"/>
              </w:rPr>
              <w:t>因</w:t>
            </w:r>
            <w:r w:rsidR="001A64C4">
              <w:rPr>
                <w:rFonts w:ascii="標楷體" w:eastAsia="標楷體" w:hAnsi="標楷體" w:hint="eastAsia"/>
              </w:rPr>
              <w:t>第一上市公司上市後辦理募資案件</w:t>
            </w:r>
            <w:r w:rsidR="002E4216">
              <w:rPr>
                <w:rFonts w:ascii="標楷體" w:eastAsia="標楷體" w:hAnsi="標楷體" w:hint="eastAsia"/>
              </w:rPr>
              <w:t>委任</w:t>
            </w:r>
            <w:r w:rsidR="001A64C4">
              <w:rPr>
                <w:rFonts w:ascii="標楷體" w:eastAsia="標楷體" w:hAnsi="標楷體" w:hint="eastAsia"/>
              </w:rPr>
              <w:t>主辦承銷商</w:t>
            </w:r>
            <w:r w:rsidR="002E4216" w:rsidRPr="006E6479">
              <w:rPr>
                <w:rFonts w:eastAsia="標楷體" w:hAnsi="標楷體" w:hint="eastAsia"/>
                <w:color w:val="000000"/>
              </w:rPr>
              <w:t>協助法令遵循，屬</w:t>
            </w:r>
            <w:proofErr w:type="gramStart"/>
            <w:r w:rsidR="002E4216">
              <w:rPr>
                <w:rFonts w:eastAsia="標楷體" w:hAnsi="標楷體" w:hint="eastAsia"/>
                <w:color w:val="000000"/>
              </w:rPr>
              <w:t>外募發</w:t>
            </w:r>
            <w:proofErr w:type="gramEnd"/>
            <w:r w:rsidR="002E4216">
              <w:rPr>
                <w:rFonts w:eastAsia="標楷體" w:hAnsi="標楷體" w:hint="eastAsia"/>
                <w:color w:val="000000"/>
              </w:rPr>
              <w:t>準則及第一上市後管理作業辦法之規範事項</w:t>
            </w:r>
            <w:r w:rsidR="00425E7A">
              <w:rPr>
                <w:rFonts w:eastAsia="標楷體" w:hAnsi="標楷體" w:hint="eastAsia"/>
                <w:color w:val="000000"/>
              </w:rPr>
              <w:t>，</w:t>
            </w:r>
            <w:proofErr w:type="gramStart"/>
            <w:r w:rsidR="00425E7A">
              <w:rPr>
                <w:rFonts w:eastAsia="標楷體" w:hAnsi="標楷體" w:hint="eastAsia"/>
                <w:color w:val="000000"/>
              </w:rPr>
              <w:t>故</w:t>
            </w:r>
            <w:r w:rsidR="002E4216" w:rsidRPr="009A3BC5">
              <w:rPr>
                <w:rFonts w:eastAsia="標楷體" w:hAnsi="標楷體" w:hint="eastAsia"/>
                <w:color w:val="000000"/>
              </w:rPr>
              <w:t>明訂</w:t>
            </w:r>
            <w:proofErr w:type="gramEnd"/>
            <w:r w:rsidR="002E4216" w:rsidRPr="009A3BC5">
              <w:rPr>
                <w:rFonts w:eastAsia="標楷體" w:hAnsi="標楷體" w:hint="eastAsia"/>
                <w:color w:val="000000"/>
              </w:rPr>
              <w:t>違反</w:t>
            </w:r>
            <w:r w:rsidR="002E4216">
              <w:rPr>
                <w:rFonts w:eastAsia="標楷體" w:hAnsi="標楷體" w:hint="eastAsia"/>
                <w:color w:val="000000"/>
              </w:rPr>
              <w:t>時</w:t>
            </w:r>
            <w:r w:rsidR="002E4216" w:rsidRPr="009A3BC5">
              <w:rPr>
                <w:rFonts w:eastAsia="標楷體" w:hAnsi="標楷體" w:hint="eastAsia"/>
                <w:color w:val="000000"/>
              </w:rPr>
              <w:t>，本公司得依</w:t>
            </w:r>
            <w:proofErr w:type="gramStart"/>
            <w:r w:rsidR="002E4216" w:rsidRPr="009A3BC5">
              <w:rPr>
                <w:rFonts w:eastAsia="標楷體" w:hAnsi="標楷體" w:hint="eastAsia"/>
                <w:color w:val="000000"/>
              </w:rPr>
              <w:t>規</w:t>
            </w:r>
            <w:proofErr w:type="gramEnd"/>
            <w:r w:rsidR="002E4216">
              <w:rPr>
                <w:rFonts w:eastAsia="標楷體" w:hAnsi="標楷體" w:hint="eastAsia"/>
                <w:color w:val="000000"/>
              </w:rPr>
              <w:t>予以處置</w:t>
            </w:r>
            <w:r w:rsidR="002E4216" w:rsidRPr="009A3BC5">
              <w:rPr>
                <w:rFonts w:eastAsia="標楷體" w:hAnsi="標楷體" w:hint="eastAsia"/>
                <w:color w:val="000000"/>
              </w:rPr>
              <w:t>，以資提醒</w:t>
            </w:r>
            <w:r w:rsidR="002E4216" w:rsidRPr="009A3BC5">
              <w:rPr>
                <w:rFonts w:eastAsia="標楷體" w:hint="eastAsia"/>
                <w:color w:val="000000"/>
              </w:rPr>
              <w:t>，落實證券</w:t>
            </w:r>
            <w:r w:rsidR="002E4216">
              <w:rPr>
                <w:rFonts w:eastAsia="標楷體" w:hint="eastAsia"/>
                <w:color w:val="000000"/>
              </w:rPr>
              <w:t>承銷</w:t>
            </w:r>
            <w:r w:rsidR="002E4216" w:rsidRPr="009A3BC5">
              <w:rPr>
                <w:rFonts w:eastAsia="標楷體" w:hint="eastAsia"/>
                <w:color w:val="000000"/>
              </w:rPr>
              <w:t>商之協助義務。</w:t>
            </w:r>
          </w:p>
        </w:tc>
      </w:tr>
    </w:tbl>
    <w:p w:rsidR="000D3019" w:rsidRDefault="000D3019" w:rsidP="00564B7E"/>
    <w:sectPr w:rsidR="000D3019" w:rsidSect="00A557B1">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F1" w:rsidRDefault="003825F1">
      <w:r>
        <w:separator/>
      </w:r>
    </w:p>
  </w:endnote>
  <w:endnote w:type="continuationSeparator" w:id="0">
    <w:p w:rsidR="003825F1" w:rsidRDefault="00382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306D57" w:rsidP="003A1FD0">
    <w:pPr>
      <w:pStyle w:val="a6"/>
      <w:framePr w:wrap="around" w:vAnchor="text" w:hAnchor="margin" w:xAlign="right" w:y="1"/>
      <w:rPr>
        <w:rStyle w:val="a7"/>
      </w:rPr>
    </w:pPr>
    <w:r>
      <w:rPr>
        <w:rStyle w:val="a7"/>
      </w:rPr>
      <w:fldChar w:fldCharType="begin"/>
    </w:r>
    <w:r w:rsidR="00E05E3A">
      <w:rPr>
        <w:rStyle w:val="a7"/>
      </w:rPr>
      <w:instrText xml:space="preserve">PAGE  </w:instrText>
    </w:r>
    <w:r>
      <w:rPr>
        <w:rStyle w:val="a7"/>
      </w:rPr>
      <w:fldChar w:fldCharType="end"/>
    </w:r>
  </w:p>
  <w:p w:rsidR="00E05E3A" w:rsidRDefault="00E05E3A" w:rsidP="00997BB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306D57" w:rsidP="003A1FD0">
    <w:pPr>
      <w:pStyle w:val="a6"/>
      <w:framePr w:wrap="around" w:vAnchor="text" w:hAnchor="margin" w:xAlign="right" w:y="1"/>
      <w:rPr>
        <w:rStyle w:val="a7"/>
      </w:rPr>
    </w:pPr>
    <w:r>
      <w:rPr>
        <w:rStyle w:val="a7"/>
      </w:rPr>
      <w:fldChar w:fldCharType="begin"/>
    </w:r>
    <w:r w:rsidR="00E05E3A">
      <w:rPr>
        <w:rStyle w:val="a7"/>
      </w:rPr>
      <w:instrText xml:space="preserve">PAGE  </w:instrText>
    </w:r>
    <w:r>
      <w:rPr>
        <w:rStyle w:val="a7"/>
      </w:rPr>
      <w:fldChar w:fldCharType="separate"/>
    </w:r>
    <w:r w:rsidR="006F6CC1">
      <w:rPr>
        <w:rStyle w:val="a7"/>
        <w:noProof/>
      </w:rPr>
      <w:t>1</w:t>
    </w:r>
    <w:r>
      <w:rPr>
        <w:rStyle w:val="a7"/>
      </w:rPr>
      <w:fldChar w:fldCharType="end"/>
    </w:r>
  </w:p>
  <w:p w:rsidR="00E05E3A" w:rsidRDefault="00E05E3A" w:rsidP="00997BB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F1" w:rsidRDefault="003825F1">
      <w:r>
        <w:separator/>
      </w:r>
    </w:p>
  </w:footnote>
  <w:footnote w:type="continuationSeparator" w:id="0">
    <w:p w:rsidR="003825F1" w:rsidRDefault="00382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0A8"/>
    <w:multiLevelType w:val="hybridMultilevel"/>
    <w:tmpl w:val="26141D08"/>
    <w:lvl w:ilvl="0" w:tplc="66CE5A9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
    <w:nsid w:val="134A2CB6"/>
    <w:multiLevelType w:val="hybridMultilevel"/>
    <w:tmpl w:val="B792123E"/>
    <w:lvl w:ilvl="0" w:tplc="190A0972">
      <w:start w:val="1"/>
      <w:numFmt w:val="taiwaneseCountingThousand"/>
      <w:lvlText w:val="%1、"/>
      <w:lvlJc w:val="left"/>
      <w:pPr>
        <w:ind w:left="733" w:hanging="504"/>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
    <w:nsid w:val="19B31195"/>
    <w:multiLevelType w:val="hybridMultilevel"/>
    <w:tmpl w:val="6AE44152"/>
    <w:lvl w:ilvl="0" w:tplc="E79CCD7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31142"/>
    <w:multiLevelType w:val="hybridMultilevel"/>
    <w:tmpl w:val="8118075C"/>
    <w:lvl w:ilvl="0" w:tplc="202CB4E0">
      <w:start w:val="1"/>
      <w:numFmt w:val="decimal"/>
      <w:lvlText w:val="%1."/>
      <w:lvlJc w:val="left"/>
      <w:pPr>
        <w:ind w:left="302" w:hanging="360"/>
      </w:pPr>
      <w:rPr>
        <w:rFonts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4">
    <w:nsid w:val="26860EF8"/>
    <w:multiLevelType w:val="hybridMultilevel"/>
    <w:tmpl w:val="1366702E"/>
    <w:lvl w:ilvl="0" w:tplc="E2243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1C1DC1"/>
    <w:multiLevelType w:val="hybridMultilevel"/>
    <w:tmpl w:val="70EEC8EA"/>
    <w:lvl w:ilvl="0" w:tplc="B9C40B28">
      <w:start w:val="1"/>
      <w:numFmt w:val="taiwaneseCountingThousand"/>
      <w:lvlText w:val="%1、"/>
      <w:lvlJc w:val="left"/>
      <w:pPr>
        <w:ind w:left="788" w:hanging="50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42AA2FB1"/>
    <w:multiLevelType w:val="hybridMultilevel"/>
    <w:tmpl w:val="DAF6C1E4"/>
    <w:lvl w:ilvl="0" w:tplc="5E987B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D73F01"/>
    <w:multiLevelType w:val="hybridMultilevel"/>
    <w:tmpl w:val="52D41B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2E1F63"/>
    <w:multiLevelType w:val="hybridMultilevel"/>
    <w:tmpl w:val="BB30AEA4"/>
    <w:lvl w:ilvl="0" w:tplc="0608DCA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9">
    <w:nsid w:val="65314745"/>
    <w:multiLevelType w:val="hybridMultilevel"/>
    <w:tmpl w:val="ED6E3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DE6C94"/>
    <w:multiLevelType w:val="hybridMultilevel"/>
    <w:tmpl w:val="B792123E"/>
    <w:lvl w:ilvl="0" w:tplc="190A097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num w:numId="1">
    <w:abstractNumId w:val="7"/>
  </w:num>
  <w:num w:numId="2">
    <w:abstractNumId w:val="10"/>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019"/>
    <w:rsid w:val="00010737"/>
    <w:rsid w:val="0001263F"/>
    <w:rsid w:val="00012DDC"/>
    <w:rsid w:val="00017EA5"/>
    <w:rsid w:val="00021E57"/>
    <w:rsid w:val="000310D3"/>
    <w:rsid w:val="000335EB"/>
    <w:rsid w:val="00042ACB"/>
    <w:rsid w:val="000563D4"/>
    <w:rsid w:val="00056B8A"/>
    <w:rsid w:val="0005775F"/>
    <w:rsid w:val="00084EAE"/>
    <w:rsid w:val="000853B2"/>
    <w:rsid w:val="00085ACF"/>
    <w:rsid w:val="00085F77"/>
    <w:rsid w:val="000A1FAE"/>
    <w:rsid w:val="000A5F95"/>
    <w:rsid w:val="000C4622"/>
    <w:rsid w:val="000D3019"/>
    <w:rsid w:val="000D33E5"/>
    <w:rsid w:val="0011447D"/>
    <w:rsid w:val="00131AE7"/>
    <w:rsid w:val="00132A4F"/>
    <w:rsid w:val="00137605"/>
    <w:rsid w:val="00141B82"/>
    <w:rsid w:val="0014754C"/>
    <w:rsid w:val="0014754D"/>
    <w:rsid w:val="0018661B"/>
    <w:rsid w:val="00186784"/>
    <w:rsid w:val="001917BE"/>
    <w:rsid w:val="00191E74"/>
    <w:rsid w:val="001932CE"/>
    <w:rsid w:val="001A480C"/>
    <w:rsid w:val="001A64C4"/>
    <w:rsid w:val="001B0911"/>
    <w:rsid w:val="001F47E5"/>
    <w:rsid w:val="00203FC5"/>
    <w:rsid w:val="00211CBB"/>
    <w:rsid w:val="00216A05"/>
    <w:rsid w:val="002174AF"/>
    <w:rsid w:val="002234DC"/>
    <w:rsid w:val="0026656F"/>
    <w:rsid w:val="00266B7F"/>
    <w:rsid w:val="0026727D"/>
    <w:rsid w:val="00280019"/>
    <w:rsid w:val="002A14EC"/>
    <w:rsid w:val="002A36D8"/>
    <w:rsid w:val="002A742C"/>
    <w:rsid w:val="002B5717"/>
    <w:rsid w:val="002C6076"/>
    <w:rsid w:val="002D0B21"/>
    <w:rsid w:val="002E4216"/>
    <w:rsid w:val="002E7541"/>
    <w:rsid w:val="002F7389"/>
    <w:rsid w:val="003002AA"/>
    <w:rsid w:val="00300A12"/>
    <w:rsid w:val="00306D57"/>
    <w:rsid w:val="00310A1F"/>
    <w:rsid w:val="003201C5"/>
    <w:rsid w:val="00330517"/>
    <w:rsid w:val="00333E44"/>
    <w:rsid w:val="00352268"/>
    <w:rsid w:val="003541E4"/>
    <w:rsid w:val="0037512E"/>
    <w:rsid w:val="00376944"/>
    <w:rsid w:val="003825F1"/>
    <w:rsid w:val="003A1FD0"/>
    <w:rsid w:val="003A65BD"/>
    <w:rsid w:val="003B3806"/>
    <w:rsid w:val="003B74B1"/>
    <w:rsid w:val="003C44F4"/>
    <w:rsid w:val="003C45C8"/>
    <w:rsid w:val="003C66AB"/>
    <w:rsid w:val="003D4E56"/>
    <w:rsid w:val="003E5C80"/>
    <w:rsid w:val="003F5580"/>
    <w:rsid w:val="00404AF0"/>
    <w:rsid w:val="00425E7A"/>
    <w:rsid w:val="00455E76"/>
    <w:rsid w:val="0048315A"/>
    <w:rsid w:val="00487925"/>
    <w:rsid w:val="004920A1"/>
    <w:rsid w:val="004B31F3"/>
    <w:rsid w:val="004B4602"/>
    <w:rsid w:val="004C02C5"/>
    <w:rsid w:val="004F1D6F"/>
    <w:rsid w:val="00503612"/>
    <w:rsid w:val="00506483"/>
    <w:rsid w:val="00513DD5"/>
    <w:rsid w:val="0051443A"/>
    <w:rsid w:val="0052575C"/>
    <w:rsid w:val="0053101E"/>
    <w:rsid w:val="00556837"/>
    <w:rsid w:val="00557666"/>
    <w:rsid w:val="00564B7E"/>
    <w:rsid w:val="00567A29"/>
    <w:rsid w:val="00570C92"/>
    <w:rsid w:val="00574EFA"/>
    <w:rsid w:val="005828EA"/>
    <w:rsid w:val="00583470"/>
    <w:rsid w:val="005877ED"/>
    <w:rsid w:val="005A0091"/>
    <w:rsid w:val="005B0864"/>
    <w:rsid w:val="005B0988"/>
    <w:rsid w:val="005D72F8"/>
    <w:rsid w:val="005E31BB"/>
    <w:rsid w:val="005E4678"/>
    <w:rsid w:val="005E793F"/>
    <w:rsid w:val="0064287A"/>
    <w:rsid w:val="0066311A"/>
    <w:rsid w:val="00677C46"/>
    <w:rsid w:val="00686164"/>
    <w:rsid w:val="00692186"/>
    <w:rsid w:val="006A0BA4"/>
    <w:rsid w:val="006B1AC7"/>
    <w:rsid w:val="006B568F"/>
    <w:rsid w:val="006E3538"/>
    <w:rsid w:val="006E7892"/>
    <w:rsid w:val="006F6CC1"/>
    <w:rsid w:val="007011B4"/>
    <w:rsid w:val="00723786"/>
    <w:rsid w:val="007312E1"/>
    <w:rsid w:val="007370EF"/>
    <w:rsid w:val="00742A64"/>
    <w:rsid w:val="00757E86"/>
    <w:rsid w:val="00763A48"/>
    <w:rsid w:val="00772822"/>
    <w:rsid w:val="00774D97"/>
    <w:rsid w:val="00775D7A"/>
    <w:rsid w:val="00776AA5"/>
    <w:rsid w:val="007B4537"/>
    <w:rsid w:val="007B50E5"/>
    <w:rsid w:val="007D40F0"/>
    <w:rsid w:val="00802DF6"/>
    <w:rsid w:val="008033BE"/>
    <w:rsid w:val="00805228"/>
    <w:rsid w:val="0081388F"/>
    <w:rsid w:val="008223E5"/>
    <w:rsid w:val="00834F10"/>
    <w:rsid w:val="00836D13"/>
    <w:rsid w:val="00837FB0"/>
    <w:rsid w:val="00860DC2"/>
    <w:rsid w:val="008A0300"/>
    <w:rsid w:val="008B67C4"/>
    <w:rsid w:val="008B7CF7"/>
    <w:rsid w:val="008C157A"/>
    <w:rsid w:val="008D6A77"/>
    <w:rsid w:val="008E104B"/>
    <w:rsid w:val="008F1DB3"/>
    <w:rsid w:val="00904ABA"/>
    <w:rsid w:val="009148F7"/>
    <w:rsid w:val="009266C7"/>
    <w:rsid w:val="00930E05"/>
    <w:rsid w:val="009446C4"/>
    <w:rsid w:val="00947122"/>
    <w:rsid w:val="00947C0F"/>
    <w:rsid w:val="00963F78"/>
    <w:rsid w:val="00966905"/>
    <w:rsid w:val="00983465"/>
    <w:rsid w:val="009924DF"/>
    <w:rsid w:val="00992935"/>
    <w:rsid w:val="00997BBA"/>
    <w:rsid w:val="009C7F84"/>
    <w:rsid w:val="009D696E"/>
    <w:rsid w:val="00A24137"/>
    <w:rsid w:val="00A41360"/>
    <w:rsid w:val="00A477BD"/>
    <w:rsid w:val="00A47C72"/>
    <w:rsid w:val="00A557B1"/>
    <w:rsid w:val="00A56055"/>
    <w:rsid w:val="00A82D65"/>
    <w:rsid w:val="00A82EC2"/>
    <w:rsid w:val="00A8706D"/>
    <w:rsid w:val="00AE51D8"/>
    <w:rsid w:val="00AF7BEF"/>
    <w:rsid w:val="00B033DC"/>
    <w:rsid w:val="00B04E70"/>
    <w:rsid w:val="00B061D7"/>
    <w:rsid w:val="00B11D77"/>
    <w:rsid w:val="00B16CA8"/>
    <w:rsid w:val="00B219F1"/>
    <w:rsid w:val="00B22F0A"/>
    <w:rsid w:val="00B24124"/>
    <w:rsid w:val="00B44136"/>
    <w:rsid w:val="00B47B1A"/>
    <w:rsid w:val="00B602FC"/>
    <w:rsid w:val="00B822B9"/>
    <w:rsid w:val="00B83A86"/>
    <w:rsid w:val="00BB6093"/>
    <w:rsid w:val="00BC34BE"/>
    <w:rsid w:val="00BC36FB"/>
    <w:rsid w:val="00BC511C"/>
    <w:rsid w:val="00BD0438"/>
    <w:rsid w:val="00BD3082"/>
    <w:rsid w:val="00BD3B1B"/>
    <w:rsid w:val="00BE5BFD"/>
    <w:rsid w:val="00BF55A2"/>
    <w:rsid w:val="00C0125F"/>
    <w:rsid w:val="00C448DA"/>
    <w:rsid w:val="00C603C6"/>
    <w:rsid w:val="00C62C4D"/>
    <w:rsid w:val="00C75515"/>
    <w:rsid w:val="00C91B23"/>
    <w:rsid w:val="00C935AA"/>
    <w:rsid w:val="00C97E29"/>
    <w:rsid w:val="00CA4C24"/>
    <w:rsid w:val="00CA6BD6"/>
    <w:rsid w:val="00CA7F49"/>
    <w:rsid w:val="00CC4D27"/>
    <w:rsid w:val="00CF047E"/>
    <w:rsid w:val="00CF4652"/>
    <w:rsid w:val="00D21677"/>
    <w:rsid w:val="00D21F37"/>
    <w:rsid w:val="00D26433"/>
    <w:rsid w:val="00D3036F"/>
    <w:rsid w:val="00D31E6A"/>
    <w:rsid w:val="00D5778F"/>
    <w:rsid w:val="00D6602D"/>
    <w:rsid w:val="00D81C84"/>
    <w:rsid w:val="00DA02E7"/>
    <w:rsid w:val="00DB1B88"/>
    <w:rsid w:val="00DB4408"/>
    <w:rsid w:val="00DB535A"/>
    <w:rsid w:val="00DD2417"/>
    <w:rsid w:val="00DD45E0"/>
    <w:rsid w:val="00DD5EEE"/>
    <w:rsid w:val="00DF5DCA"/>
    <w:rsid w:val="00E05E3A"/>
    <w:rsid w:val="00E07870"/>
    <w:rsid w:val="00E13767"/>
    <w:rsid w:val="00E23A79"/>
    <w:rsid w:val="00E344FE"/>
    <w:rsid w:val="00E3520E"/>
    <w:rsid w:val="00E35EFC"/>
    <w:rsid w:val="00E7779B"/>
    <w:rsid w:val="00E8570A"/>
    <w:rsid w:val="00E87100"/>
    <w:rsid w:val="00E876C0"/>
    <w:rsid w:val="00E94FE6"/>
    <w:rsid w:val="00E95A6D"/>
    <w:rsid w:val="00E97089"/>
    <w:rsid w:val="00EA284F"/>
    <w:rsid w:val="00ED016D"/>
    <w:rsid w:val="00EE21EB"/>
    <w:rsid w:val="00EE475D"/>
    <w:rsid w:val="00EE7D5E"/>
    <w:rsid w:val="00EF60FF"/>
    <w:rsid w:val="00F07B9C"/>
    <w:rsid w:val="00F41D24"/>
    <w:rsid w:val="00F44AE4"/>
    <w:rsid w:val="00F62528"/>
    <w:rsid w:val="00F87E90"/>
    <w:rsid w:val="00F90166"/>
    <w:rsid w:val="00FB49C4"/>
    <w:rsid w:val="00FB5E8F"/>
    <w:rsid w:val="00FB78E0"/>
    <w:rsid w:val="00FF1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7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0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D3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4">
    <w:name w:val="Plain Text"/>
    <w:basedOn w:val="a"/>
    <w:link w:val="a5"/>
    <w:uiPriority w:val="99"/>
    <w:rsid w:val="001B0911"/>
    <w:rPr>
      <w:rFonts w:ascii="細明體" w:eastAsia="細明體" w:hAnsi="Courier New"/>
      <w:szCs w:val="20"/>
    </w:rPr>
  </w:style>
  <w:style w:type="paragraph" w:styleId="a6">
    <w:name w:val="footer"/>
    <w:basedOn w:val="a"/>
    <w:rsid w:val="00997BBA"/>
    <w:pPr>
      <w:tabs>
        <w:tab w:val="center" w:pos="4153"/>
        <w:tab w:val="right" w:pos="8306"/>
      </w:tabs>
      <w:snapToGrid w:val="0"/>
    </w:pPr>
    <w:rPr>
      <w:sz w:val="20"/>
      <w:szCs w:val="20"/>
    </w:rPr>
  </w:style>
  <w:style w:type="character" w:styleId="a7">
    <w:name w:val="page number"/>
    <w:basedOn w:val="a0"/>
    <w:rsid w:val="00997BBA"/>
  </w:style>
  <w:style w:type="paragraph" w:styleId="a8">
    <w:name w:val="header"/>
    <w:basedOn w:val="a"/>
    <w:link w:val="a9"/>
    <w:rsid w:val="00774D97"/>
    <w:pPr>
      <w:tabs>
        <w:tab w:val="center" w:pos="4153"/>
        <w:tab w:val="right" w:pos="8306"/>
      </w:tabs>
      <w:snapToGrid w:val="0"/>
    </w:pPr>
    <w:rPr>
      <w:sz w:val="20"/>
      <w:szCs w:val="20"/>
    </w:rPr>
  </w:style>
  <w:style w:type="character" w:customStyle="1" w:styleId="a9">
    <w:name w:val="頁首 字元"/>
    <w:basedOn w:val="a0"/>
    <w:link w:val="a8"/>
    <w:rsid w:val="00774D97"/>
    <w:rPr>
      <w:kern w:val="2"/>
    </w:rPr>
  </w:style>
  <w:style w:type="character" w:customStyle="1" w:styleId="HTML0">
    <w:name w:val="HTML 預設格式 字元"/>
    <w:basedOn w:val="a0"/>
    <w:link w:val="HTML"/>
    <w:uiPriority w:val="99"/>
    <w:rsid w:val="00017EA5"/>
    <w:rPr>
      <w:rFonts w:ascii="細明體" w:eastAsia="細明體" w:hAnsi="細明體" w:cs="細明體"/>
      <w:color w:val="333333"/>
      <w:sz w:val="24"/>
      <w:szCs w:val="24"/>
    </w:rPr>
  </w:style>
  <w:style w:type="paragraph" w:styleId="aa">
    <w:name w:val="List Paragraph"/>
    <w:basedOn w:val="a"/>
    <w:uiPriority w:val="34"/>
    <w:qFormat/>
    <w:rsid w:val="00DD5EEE"/>
    <w:pPr>
      <w:ind w:leftChars="200" w:left="480"/>
    </w:pPr>
  </w:style>
  <w:style w:type="paragraph" w:styleId="ab">
    <w:name w:val="Balloon Text"/>
    <w:basedOn w:val="a"/>
    <w:link w:val="ac"/>
    <w:rsid w:val="0011447D"/>
    <w:rPr>
      <w:rFonts w:asciiTheme="majorHAnsi" w:eastAsiaTheme="majorEastAsia" w:hAnsiTheme="majorHAnsi" w:cstheme="majorBidi"/>
      <w:sz w:val="18"/>
      <w:szCs w:val="18"/>
    </w:rPr>
  </w:style>
  <w:style w:type="character" w:customStyle="1" w:styleId="ac">
    <w:name w:val="註解方塊文字 字元"/>
    <w:basedOn w:val="a0"/>
    <w:link w:val="ab"/>
    <w:rsid w:val="0011447D"/>
    <w:rPr>
      <w:rFonts w:asciiTheme="majorHAnsi" w:eastAsiaTheme="majorEastAsia" w:hAnsiTheme="majorHAnsi" w:cstheme="majorBidi"/>
      <w:kern w:val="2"/>
      <w:sz w:val="18"/>
      <w:szCs w:val="18"/>
    </w:rPr>
  </w:style>
  <w:style w:type="character" w:customStyle="1" w:styleId="a5">
    <w:name w:val="純文字 字元"/>
    <w:basedOn w:val="a0"/>
    <w:link w:val="a4"/>
    <w:uiPriority w:val="99"/>
    <w:rsid w:val="008E104B"/>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divs>
    <w:div w:id="5060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9F044-2022-402E-AD12-384D7B5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313</Words>
  <Characters>1785</Characters>
  <Application>Microsoft Office Word</Application>
  <DocSecurity>0</DocSecurity>
  <Lines>14</Lines>
  <Paragraphs>4</Paragraphs>
  <ScaleCrop>false</ScaleCrop>
  <Company>moeasmea</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臺灣證券交易新股份有限公司有價證券上市審查準則第二十三條修正條文草案對照表</dc:title>
  <dc:creator>TSEC</dc:creator>
  <cp:lastModifiedBy>00</cp:lastModifiedBy>
  <cp:revision>12</cp:revision>
  <cp:lastPrinted>2014-10-14T09:58:00Z</cp:lastPrinted>
  <dcterms:created xsi:type="dcterms:W3CDTF">2014-10-14T09:38:00Z</dcterms:created>
  <dcterms:modified xsi:type="dcterms:W3CDTF">2014-10-27T03:16:00Z</dcterms:modified>
</cp:coreProperties>
</file>