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3CB" w:rsidRPr="00BA317A" w:rsidRDefault="002863CB" w:rsidP="002863CB">
      <w:pPr>
        <w:pStyle w:val="a3"/>
        <w:spacing w:line="600" w:lineRule="exact"/>
        <w:ind w:leftChars="0" w:left="0"/>
        <w:jc w:val="center"/>
        <w:rPr>
          <w:rFonts w:ascii="標楷體" w:eastAsia="標楷體" w:hAnsi="標楷體"/>
          <w:b/>
          <w:color w:val="000000" w:themeColor="text1"/>
          <w:sz w:val="32"/>
          <w:szCs w:val="32"/>
        </w:rPr>
      </w:pPr>
      <w:r w:rsidRPr="00BA317A">
        <w:rPr>
          <w:rFonts w:ascii="標楷體" w:eastAsia="標楷體" w:hAnsi="標楷體"/>
          <w:b/>
          <w:color w:val="000000" w:themeColor="text1"/>
          <w:sz w:val="32"/>
          <w:szCs w:val="32"/>
        </w:rPr>
        <w:t>臺灣證券交易所股份有限公司</w:t>
      </w:r>
      <w:r w:rsidRPr="00BA317A">
        <w:rPr>
          <w:rFonts w:ascii="標楷體" w:eastAsia="標楷體" w:hAnsi="標楷體" w:hint="eastAsia"/>
          <w:b/>
          <w:color w:val="000000" w:themeColor="text1"/>
          <w:sz w:val="32"/>
          <w:szCs w:val="32"/>
        </w:rPr>
        <w:t>受託辦理本國及外國發行人</w:t>
      </w:r>
      <w:r w:rsidRPr="00BA317A">
        <w:rPr>
          <w:rFonts w:ascii="標楷體" w:eastAsia="標楷體" w:hAnsi="標楷體"/>
          <w:b/>
          <w:color w:val="000000" w:themeColor="text1"/>
          <w:sz w:val="32"/>
          <w:szCs w:val="32"/>
        </w:rPr>
        <w:t>募集與發行有價證券</w:t>
      </w:r>
      <w:r w:rsidRPr="00BA317A">
        <w:rPr>
          <w:rFonts w:ascii="標楷體" w:eastAsia="標楷體" w:hAnsi="標楷體" w:hint="eastAsia"/>
          <w:b/>
          <w:color w:val="000000" w:themeColor="text1"/>
          <w:sz w:val="32"/>
          <w:szCs w:val="32"/>
        </w:rPr>
        <w:t>申報案件作業程序</w:t>
      </w:r>
      <w:r w:rsidRPr="00BA317A">
        <w:rPr>
          <w:rFonts w:ascii="標楷體" w:eastAsia="標楷體" w:hAnsi="標楷體"/>
          <w:b/>
          <w:color w:val="000000" w:themeColor="text1"/>
          <w:sz w:val="32"/>
          <w:szCs w:val="32"/>
        </w:rPr>
        <w:t>總說明</w:t>
      </w:r>
    </w:p>
    <w:p w:rsidR="002863CB" w:rsidRPr="00BA317A" w:rsidRDefault="002863CB" w:rsidP="002863CB">
      <w:pPr>
        <w:spacing w:line="460" w:lineRule="exact"/>
        <w:ind w:firstLineChars="195" w:firstLine="468"/>
        <w:jc w:val="both"/>
        <w:rPr>
          <w:rFonts w:ascii="標楷體" w:eastAsia="標楷體" w:hAnsi="標楷體"/>
          <w:color w:val="000000" w:themeColor="text1"/>
          <w:szCs w:val="24"/>
        </w:rPr>
      </w:pPr>
      <w:r w:rsidRPr="00BA317A">
        <w:rPr>
          <w:rFonts w:ascii="標楷體" w:eastAsia="標楷體" w:hAnsi="標楷體" w:hint="eastAsia"/>
          <w:color w:val="000000" w:themeColor="text1"/>
          <w:szCs w:val="24"/>
        </w:rPr>
        <w:t>為執行</w:t>
      </w:r>
      <w:r w:rsidRPr="00BA317A">
        <w:rPr>
          <w:rFonts w:ascii="標楷體" w:eastAsia="標楷體" w:hAnsi="標楷體"/>
          <w:color w:val="000000" w:themeColor="text1"/>
          <w:szCs w:val="24"/>
        </w:rPr>
        <w:t>金融監督管理委員會</w:t>
      </w:r>
      <w:r w:rsidRPr="00BA317A">
        <w:rPr>
          <w:rFonts w:ascii="標楷體" w:eastAsia="標楷體" w:hAnsi="標楷體" w:hint="eastAsia"/>
          <w:color w:val="000000" w:themeColor="text1"/>
          <w:szCs w:val="24"/>
        </w:rPr>
        <w:t>依發行人募集與發行有價證券處理準則第十一條之一及</w:t>
      </w:r>
      <w:r w:rsidRPr="00BA317A">
        <w:rPr>
          <w:rFonts w:ascii="標楷體" w:eastAsia="標楷體" w:hAnsi="標楷體"/>
          <w:color w:val="000000" w:themeColor="text1"/>
          <w:szCs w:val="24"/>
        </w:rPr>
        <w:t>外國發行人募集與發行有價證券處理準則</w:t>
      </w:r>
      <w:r w:rsidRPr="00BA317A">
        <w:rPr>
          <w:rFonts w:ascii="標楷體" w:eastAsia="標楷體" w:hAnsi="標楷體" w:hint="eastAsia"/>
          <w:color w:val="000000" w:themeColor="text1"/>
          <w:szCs w:val="24"/>
        </w:rPr>
        <w:t>第九條之一規定，委託本公司辦理本國發行人初次上市前現金增資發行新股案件及外國發行人首次辦理股票公開發行及初次上市前現金增資發行新股案件，</w:t>
      </w:r>
      <w:r w:rsidRPr="00BA317A">
        <w:rPr>
          <w:rFonts w:ascii="標楷體" w:eastAsia="標楷體" w:hAnsi="標楷體"/>
          <w:color w:val="000000" w:themeColor="text1"/>
          <w:szCs w:val="24"/>
        </w:rPr>
        <w:t>爰訂定「臺灣證券交易所股份有限公司</w:t>
      </w:r>
      <w:r w:rsidRPr="00BA317A">
        <w:rPr>
          <w:rFonts w:ascii="標楷體" w:eastAsia="標楷體" w:hAnsi="標楷體" w:hint="eastAsia"/>
          <w:color w:val="000000" w:themeColor="text1"/>
          <w:szCs w:val="24"/>
        </w:rPr>
        <w:t>受託辦理本國及外國發行人</w:t>
      </w:r>
      <w:r w:rsidRPr="00BA317A">
        <w:rPr>
          <w:rFonts w:ascii="標楷體" w:eastAsia="標楷體" w:hAnsi="標楷體"/>
          <w:color w:val="000000" w:themeColor="text1"/>
          <w:szCs w:val="24"/>
        </w:rPr>
        <w:t>募集與發行有價證券</w:t>
      </w:r>
      <w:r w:rsidRPr="00BA317A">
        <w:rPr>
          <w:rFonts w:ascii="標楷體" w:eastAsia="標楷體" w:hAnsi="標楷體" w:hint="eastAsia"/>
          <w:color w:val="000000" w:themeColor="text1"/>
          <w:szCs w:val="24"/>
        </w:rPr>
        <w:t>申報案件作業程序</w:t>
      </w:r>
      <w:r w:rsidRPr="00BA317A">
        <w:rPr>
          <w:rFonts w:ascii="標楷體" w:eastAsia="標楷體" w:hAnsi="標楷體"/>
          <w:color w:val="000000" w:themeColor="text1"/>
          <w:szCs w:val="24"/>
        </w:rPr>
        <w:t>」（以下簡稱本</w:t>
      </w:r>
      <w:r w:rsidRPr="00BA317A">
        <w:rPr>
          <w:rFonts w:ascii="標楷體" w:eastAsia="標楷體" w:hAnsi="標楷體" w:hint="eastAsia"/>
          <w:color w:val="000000" w:themeColor="text1"/>
          <w:szCs w:val="24"/>
        </w:rPr>
        <w:t>作業程序</w:t>
      </w:r>
      <w:r w:rsidRPr="00BA317A">
        <w:rPr>
          <w:rFonts w:ascii="標楷體" w:eastAsia="標楷體" w:hAnsi="標楷體"/>
          <w:color w:val="000000" w:themeColor="text1"/>
          <w:szCs w:val="24"/>
        </w:rPr>
        <w:t>）</w:t>
      </w:r>
      <w:r w:rsidRPr="00BA317A">
        <w:rPr>
          <w:rFonts w:ascii="標楷體" w:eastAsia="標楷體" w:hAnsi="標楷體" w:hint="eastAsia"/>
          <w:color w:val="000000" w:themeColor="text1"/>
          <w:szCs w:val="24"/>
        </w:rPr>
        <w:t>以資遵循</w:t>
      </w:r>
      <w:r w:rsidRPr="00BA317A">
        <w:rPr>
          <w:rFonts w:ascii="標楷體" w:eastAsia="標楷體" w:hAnsi="標楷體"/>
          <w:color w:val="000000" w:themeColor="text1"/>
          <w:szCs w:val="24"/>
        </w:rPr>
        <w:t>。</w:t>
      </w:r>
    </w:p>
    <w:p w:rsidR="002863CB" w:rsidRPr="00BA317A" w:rsidRDefault="002863CB" w:rsidP="002863CB">
      <w:pPr>
        <w:spacing w:line="460" w:lineRule="exact"/>
        <w:ind w:firstLineChars="195" w:firstLine="468"/>
        <w:jc w:val="both"/>
        <w:rPr>
          <w:rFonts w:ascii="標楷體" w:eastAsia="標楷體" w:hAnsi="標楷體"/>
          <w:color w:val="000000" w:themeColor="text1"/>
          <w:szCs w:val="24"/>
        </w:rPr>
      </w:pPr>
      <w:r w:rsidRPr="00BA317A">
        <w:rPr>
          <w:rFonts w:ascii="標楷體" w:eastAsia="標楷體" w:hAnsi="標楷體" w:hint="eastAsia"/>
          <w:color w:val="000000" w:themeColor="text1"/>
          <w:szCs w:val="24"/>
        </w:rPr>
        <w:t>本作業程序條文共</w:t>
      </w:r>
      <w:r w:rsidR="00F918D2" w:rsidRPr="00BA317A">
        <w:rPr>
          <w:rFonts w:ascii="標楷體" w:eastAsia="標楷體" w:hAnsi="標楷體" w:hint="eastAsia"/>
          <w:color w:val="000000" w:themeColor="text1"/>
          <w:szCs w:val="24"/>
        </w:rPr>
        <w:t>六</w:t>
      </w:r>
      <w:r w:rsidRPr="00BA317A">
        <w:rPr>
          <w:rFonts w:ascii="標楷體" w:eastAsia="標楷體" w:hAnsi="標楷體" w:hint="eastAsia"/>
          <w:color w:val="000000" w:themeColor="text1"/>
          <w:szCs w:val="24"/>
        </w:rPr>
        <w:t>條，條文</w:t>
      </w:r>
      <w:r w:rsidRPr="00BA317A">
        <w:rPr>
          <w:rFonts w:ascii="標楷體" w:eastAsia="標楷體" w:hAnsi="標楷體"/>
          <w:color w:val="000000" w:themeColor="text1"/>
          <w:szCs w:val="24"/>
        </w:rPr>
        <w:t>要點臚列如下：</w:t>
      </w:r>
    </w:p>
    <w:p w:rsidR="002863CB" w:rsidRPr="00BA317A" w:rsidRDefault="002863CB" w:rsidP="002863CB">
      <w:pPr>
        <w:pStyle w:val="a3"/>
        <w:numPr>
          <w:ilvl w:val="0"/>
          <w:numId w:val="2"/>
        </w:numPr>
        <w:spacing w:line="460" w:lineRule="exact"/>
        <w:ind w:leftChars="0" w:left="567" w:hanging="567"/>
        <w:rPr>
          <w:rFonts w:ascii="標楷體" w:eastAsia="標楷體" w:hAnsi="標楷體"/>
          <w:color w:val="000000" w:themeColor="text1"/>
          <w:szCs w:val="24"/>
        </w:rPr>
      </w:pPr>
      <w:r w:rsidRPr="00BA317A">
        <w:rPr>
          <w:rFonts w:ascii="標楷體" w:eastAsia="標楷體" w:hAnsi="標楷體"/>
          <w:color w:val="000000" w:themeColor="text1"/>
          <w:szCs w:val="24"/>
          <w:lang w:val="zh-TW"/>
        </w:rPr>
        <w:t>本</w:t>
      </w:r>
      <w:r w:rsidRPr="00BA317A">
        <w:rPr>
          <w:rFonts w:ascii="標楷體" w:eastAsia="標楷體" w:hAnsi="標楷體" w:hint="eastAsia"/>
          <w:color w:val="000000" w:themeColor="text1"/>
          <w:szCs w:val="24"/>
          <w:lang w:val="zh-TW"/>
        </w:rPr>
        <w:t>作業程序訂定緣由</w:t>
      </w:r>
      <w:r w:rsidRPr="00BA317A">
        <w:rPr>
          <w:rFonts w:ascii="標楷體" w:eastAsia="標楷體" w:hAnsi="標楷體"/>
          <w:color w:val="000000" w:themeColor="text1"/>
          <w:szCs w:val="24"/>
        </w:rPr>
        <w:t>。（第一條）</w:t>
      </w:r>
    </w:p>
    <w:p w:rsidR="002863CB" w:rsidRPr="00BA317A" w:rsidRDefault="002863CB" w:rsidP="002863CB">
      <w:pPr>
        <w:pStyle w:val="a3"/>
        <w:numPr>
          <w:ilvl w:val="0"/>
          <w:numId w:val="2"/>
        </w:numPr>
        <w:spacing w:line="460" w:lineRule="exact"/>
        <w:ind w:leftChars="0" w:left="567" w:hanging="567"/>
        <w:rPr>
          <w:rFonts w:ascii="標楷體" w:eastAsia="標楷體" w:hAnsi="標楷體"/>
          <w:color w:val="000000" w:themeColor="text1"/>
          <w:szCs w:val="24"/>
        </w:rPr>
      </w:pPr>
      <w:r w:rsidRPr="00BA317A">
        <w:rPr>
          <w:rFonts w:ascii="標楷體" w:eastAsia="標楷體" w:hAnsi="標楷體" w:hint="eastAsia"/>
          <w:color w:val="000000" w:themeColor="text1"/>
          <w:szCs w:val="24"/>
          <w:lang w:val="zh-TW"/>
        </w:rPr>
        <w:t>本公司受託辦理本國及外國發行人</w:t>
      </w:r>
      <w:r w:rsidRPr="00BA317A">
        <w:rPr>
          <w:rFonts w:ascii="標楷體" w:eastAsia="標楷體" w:hAnsi="標楷體" w:hint="eastAsia"/>
          <w:color w:val="000000" w:themeColor="text1"/>
          <w:szCs w:val="24"/>
        </w:rPr>
        <w:t>相關申報案件</w:t>
      </w:r>
      <w:r w:rsidRPr="00BA317A">
        <w:rPr>
          <w:rFonts w:ascii="標楷體" w:eastAsia="標楷體" w:hAnsi="標楷體" w:hint="eastAsia"/>
          <w:color w:val="000000" w:themeColor="text1"/>
          <w:szCs w:val="24"/>
          <w:lang w:val="zh-TW"/>
        </w:rPr>
        <w:t>之法令規範</w:t>
      </w:r>
      <w:r w:rsidRPr="00BA317A">
        <w:rPr>
          <w:rFonts w:ascii="標楷體" w:eastAsia="標楷體" w:hAnsi="標楷體"/>
          <w:color w:val="000000" w:themeColor="text1"/>
          <w:szCs w:val="24"/>
        </w:rPr>
        <w:t>。（第二條）</w:t>
      </w:r>
    </w:p>
    <w:p w:rsidR="002863CB" w:rsidRPr="00BA317A" w:rsidRDefault="002863CB" w:rsidP="002863CB">
      <w:pPr>
        <w:pStyle w:val="a3"/>
        <w:numPr>
          <w:ilvl w:val="0"/>
          <w:numId w:val="2"/>
        </w:numPr>
        <w:spacing w:line="460" w:lineRule="exact"/>
        <w:ind w:leftChars="0" w:left="567" w:hanging="567"/>
        <w:jc w:val="both"/>
        <w:rPr>
          <w:rFonts w:ascii="標楷體" w:eastAsia="標楷體" w:hAnsi="標楷體"/>
          <w:color w:val="000000" w:themeColor="text1"/>
          <w:szCs w:val="24"/>
        </w:rPr>
      </w:pPr>
      <w:r w:rsidRPr="00BA317A">
        <w:rPr>
          <w:rFonts w:ascii="標楷體" w:eastAsia="標楷體" w:hAnsi="標楷體" w:hint="eastAsia"/>
          <w:color w:val="000000" w:themeColor="text1"/>
          <w:szCs w:val="24"/>
          <w:lang w:val="zh-TW"/>
        </w:rPr>
        <w:t>本國發行人或外國發行人申報相關案件應備齊申報書等向本公司申報。</w:t>
      </w:r>
      <w:r w:rsidRPr="00BA317A">
        <w:rPr>
          <w:rFonts w:ascii="標楷體" w:eastAsia="標楷體" w:hAnsi="標楷體" w:hint="eastAsia"/>
          <w:color w:val="000000" w:themeColor="text1"/>
          <w:szCs w:val="24"/>
        </w:rPr>
        <w:t>（第三條）</w:t>
      </w:r>
    </w:p>
    <w:p w:rsidR="002863CB" w:rsidRPr="00BA317A" w:rsidRDefault="00F918D2" w:rsidP="002863CB">
      <w:pPr>
        <w:pStyle w:val="a3"/>
        <w:numPr>
          <w:ilvl w:val="0"/>
          <w:numId w:val="2"/>
        </w:numPr>
        <w:spacing w:line="460" w:lineRule="exact"/>
        <w:ind w:leftChars="0" w:left="567" w:hanging="567"/>
        <w:rPr>
          <w:rFonts w:ascii="標楷體" w:eastAsia="標楷體" w:hAnsi="標楷體"/>
          <w:color w:val="000000" w:themeColor="text1"/>
          <w:szCs w:val="24"/>
        </w:rPr>
      </w:pPr>
      <w:r w:rsidRPr="00BA317A">
        <w:rPr>
          <w:rFonts w:ascii="標楷體" w:eastAsia="標楷體" w:hAnsi="標楷體" w:hint="eastAsia"/>
          <w:color w:val="000000" w:themeColor="text1"/>
          <w:szCs w:val="24"/>
          <w:lang w:val="zh-TW"/>
        </w:rPr>
        <w:t>本公司承辦人員於辦理本國及外國發行人申報案件</w:t>
      </w:r>
      <w:r w:rsidRPr="00BA317A">
        <w:rPr>
          <w:rFonts w:ascii="標楷體" w:eastAsia="標楷體" w:hAnsi="標楷體" w:hint="eastAsia"/>
          <w:color w:val="000000" w:themeColor="text1"/>
          <w:szCs w:val="24"/>
        </w:rPr>
        <w:t>時，應執行之作業程序，及本公司得退回申報案件之情形。</w:t>
      </w:r>
      <w:r w:rsidR="002863CB" w:rsidRPr="00BA317A">
        <w:rPr>
          <w:rFonts w:ascii="標楷體" w:eastAsia="標楷體" w:hAnsi="標楷體" w:hint="eastAsia"/>
          <w:color w:val="000000" w:themeColor="text1"/>
          <w:szCs w:val="24"/>
        </w:rPr>
        <w:t>（第四條）</w:t>
      </w:r>
    </w:p>
    <w:p w:rsidR="002863CB" w:rsidRPr="00BA317A" w:rsidRDefault="00F918D2" w:rsidP="002863CB">
      <w:pPr>
        <w:pStyle w:val="a3"/>
        <w:numPr>
          <w:ilvl w:val="0"/>
          <w:numId w:val="2"/>
        </w:numPr>
        <w:spacing w:line="460" w:lineRule="exact"/>
        <w:ind w:leftChars="0" w:left="567" w:hanging="567"/>
        <w:rPr>
          <w:rFonts w:ascii="標楷體" w:eastAsia="標楷體" w:hAnsi="標楷體"/>
          <w:color w:val="000000" w:themeColor="text1"/>
          <w:szCs w:val="24"/>
        </w:rPr>
      </w:pPr>
      <w:r w:rsidRPr="00BA317A">
        <w:rPr>
          <w:rFonts w:ascii="標楷體" w:eastAsia="標楷體" w:hAnsi="標楷體" w:hint="eastAsia"/>
          <w:color w:val="000000" w:themeColor="text1"/>
          <w:szCs w:val="24"/>
          <w:lang w:val="zh-TW"/>
        </w:rPr>
        <w:t>本公司得撤銷或廢止</w:t>
      </w:r>
      <w:r w:rsidRPr="00BA317A">
        <w:rPr>
          <w:rFonts w:ascii="標楷體" w:eastAsia="標楷體" w:hAnsi="標楷體"/>
          <w:color w:val="000000" w:themeColor="text1"/>
          <w:szCs w:val="24"/>
          <w:lang w:val="zh-TW"/>
        </w:rPr>
        <w:t>申報</w:t>
      </w:r>
      <w:r w:rsidRPr="00BA317A">
        <w:rPr>
          <w:rFonts w:ascii="標楷體" w:eastAsia="標楷體" w:hAnsi="標楷體" w:hint="eastAsia"/>
          <w:color w:val="000000" w:themeColor="text1"/>
          <w:szCs w:val="24"/>
          <w:lang w:val="zh-TW"/>
        </w:rPr>
        <w:t>生效之情形。</w:t>
      </w:r>
      <w:r w:rsidR="002863CB" w:rsidRPr="00BA317A">
        <w:rPr>
          <w:rFonts w:ascii="標楷體" w:eastAsia="標楷體" w:hAnsi="標楷體"/>
          <w:color w:val="000000" w:themeColor="text1"/>
          <w:szCs w:val="24"/>
        </w:rPr>
        <w:t>（第</w:t>
      </w:r>
      <w:r w:rsidR="002863CB" w:rsidRPr="00BA317A">
        <w:rPr>
          <w:rFonts w:ascii="標楷體" w:eastAsia="標楷體" w:hAnsi="標楷體" w:hint="eastAsia"/>
          <w:color w:val="000000" w:themeColor="text1"/>
          <w:szCs w:val="24"/>
        </w:rPr>
        <w:t>五</w:t>
      </w:r>
      <w:r w:rsidR="002863CB" w:rsidRPr="00BA317A">
        <w:rPr>
          <w:rFonts w:ascii="標楷體" w:eastAsia="標楷體" w:hAnsi="標楷體"/>
          <w:color w:val="000000" w:themeColor="text1"/>
          <w:szCs w:val="24"/>
        </w:rPr>
        <w:t>條）</w:t>
      </w:r>
    </w:p>
    <w:p w:rsidR="002863CB" w:rsidRPr="00BA317A" w:rsidRDefault="00F918D2" w:rsidP="002863CB">
      <w:pPr>
        <w:pStyle w:val="a3"/>
        <w:numPr>
          <w:ilvl w:val="0"/>
          <w:numId w:val="2"/>
        </w:numPr>
        <w:spacing w:line="460" w:lineRule="exact"/>
        <w:ind w:leftChars="0" w:left="567" w:hanging="567"/>
        <w:rPr>
          <w:rFonts w:ascii="標楷體" w:eastAsia="標楷體" w:hAnsi="標楷體"/>
          <w:color w:val="000000" w:themeColor="text1"/>
          <w:szCs w:val="24"/>
        </w:rPr>
      </w:pPr>
      <w:r w:rsidRPr="00BA317A">
        <w:rPr>
          <w:rFonts w:ascii="標楷體" w:eastAsia="標楷體" w:hAnsi="標楷體"/>
          <w:color w:val="000000" w:themeColor="text1"/>
          <w:szCs w:val="24"/>
        </w:rPr>
        <w:t>本</w:t>
      </w:r>
      <w:r w:rsidRPr="00BA317A">
        <w:rPr>
          <w:rFonts w:ascii="標楷體" w:eastAsia="標楷體" w:hAnsi="標楷體" w:hint="eastAsia"/>
          <w:color w:val="000000" w:themeColor="text1"/>
          <w:szCs w:val="24"/>
        </w:rPr>
        <w:t>作業程序</w:t>
      </w:r>
      <w:r w:rsidRPr="00BA317A">
        <w:rPr>
          <w:rFonts w:ascii="標楷體" w:eastAsia="標楷體" w:hAnsi="標楷體"/>
          <w:color w:val="000000" w:themeColor="text1"/>
          <w:szCs w:val="24"/>
        </w:rPr>
        <w:t>之</w:t>
      </w:r>
      <w:r w:rsidRPr="00BA317A">
        <w:rPr>
          <w:rFonts w:ascii="標楷體" w:eastAsia="標楷體" w:hAnsi="標楷體"/>
          <w:color w:val="000000" w:themeColor="text1"/>
          <w:szCs w:val="24"/>
          <w:lang w:val="zh-TW"/>
        </w:rPr>
        <w:t>施行</w:t>
      </w:r>
      <w:r w:rsidRPr="00BA317A">
        <w:rPr>
          <w:rFonts w:ascii="標楷體" w:eastAsia="標楷體" w:hAnsi="標楷體"/>
          <w:color w:val="000000" w:themeColor="text1"/>
          <w:szCs w:val="24"/>
        </w:rPr>
        <w:t>日期</w:t>
      </w:r>
      <w:r w:rsidRPr="00BA317A">
        <w:rPr>
          <w:rFonts w:ascii="標楷體" w:eastAsia="標楷體" w:hAnsi="標楷體" w:hint="eastAsia"/>
          <w:color w:val="000000" w:themeColor="text1"/>
          <w:szCs w:val="24"/>
        </w:rPr>
        <w:t>及修正程序</w:t>
      </w:r>
      <w:r w:rsidRPr="00BA317A">
        <w:rPr>
          <w:rFonts w:ascii="標楷體" w:eastAsia="標楷體" w:hAnsi="標楷體"/>
          <w:color w:val="000000" w:themeColor="text1"/>
          <w:szCs w:val="24"/>
        </w:rPr>
        <w:t>。</w:t>
      </w:r>
      <w:r w:rsidR="002863CB" w:rsidRPr="00BA317A">
        <w:rPr>
          <w:rFonts w:ascii="標楷體" w:eastAsia="標楷體" w:hAnsi="標楷體"/>
          <w:color w:val="000000" w:themeColor="text1"/>
          <w:szCs w:val="24"/>
        </w:rPr>
        <w:t>（第</w:t>
      </w:r>
      <w:r w:rsidR="002863CB" w:rsidRPr="00BA317A">
        <w:rPr>
          <w:rFonts w:ascii="標楷體" w:eastAsia="標楷體" w:hAnsi="標楷體" w:hint="eastAsia"/>
          <w:color w:val="000000" w:themeColor="text1"/>
          <w:szCs w:val="24"/>
        </w:rPr>
        <w:t>六</w:t>
      </w:r>
      <w:r w:rsidR="002863CB" w:rsidRPr="00BA317A">
        <w:rPr>
          <w:rFonts w:ascii="標楷體" w:eastAsia="標楷體" w:hAnsi="標楷體"/>
          <w:color w:val="000000" w:themeColor="text1"/>
          <w:szCs w:val="24"/>
        </w:rPr>
        <w:t>條）</w:t>
      </w:r>
    </w:p>
    <w:p w:rsidR="002863CB" w:rsidRPr="00BA317A" w:rsidRDefault="002863CB" w:rsidP="002863CB">
      <w:pPr>
        <w:spacing w:line="460" w:lineRule="exact"/>
        <w:rPr>
          <w:rFonts w:ascii="標楷體" w:eastAsia="標楷體" w:hAnsi="標楷體"/>
          <w:color w:val="000000" w:themeColor="text1"/>
          <w:szCs w:val="24"/>
        </w:rPr>
      </w:pPr>
    </w:p>
    <w:p w:rsidR="002863CB" w:rsidRPr="00BA317A" w:rsidRDefault="002863CB" w:rsidP="00BE141C">
      <w:pPr>
        <w:widowControl/>
        <w:jc w:val="center"/>
        <w:rPr>
          <w:rFonts w:ascii="標楷體" w:eastAsia="標楷體" w:hAnsi="標楷體"/>
          <w:b/>
          <w:color w:val="000000" w:themeColor="text1"/>
          <w:sz w:val="32"/>
          <w:szCs w:val="32"/>
        </w:rPr>
      </w:pPr>
      <w:r w:rsidRPr="00BA317A">
        <w:rPr>
          <w:rFonts w:ascii="標楷體" w:eastAsia="標楷體" w:hAnsi="標楷體"/>
          <w:b/>
          <w:color w:val="000000" w:themeColor="text1"/>
          <w:sz w:val="32"/>
          <w:szCs w:val="32"/>
        </w:rPr>
        <w:br w:type="page"/>
      </w:r>
      <w:r w:rsidRPr="00BA317A">
        <w:rPr>
          <w:rFonts w:ascii="標楷體" w:eastAsia="標楷體" w:hAnsi="標楷體"/>
          <w:b/>
          <w:color w:val="000000" w:themeColor="text1"/>
          <w:sz w:val="32"/>
          <w:szCs w:val="32"/>
        </w:rPr>
        <w:lastRenderedPageBreak/>
        <w:t>臺灣證券交易所股份有限公司</w:t>
      </w:r>
      <w:r w:rsidRPr="00BA317A">
        <w:rPr>
          <w:rFonts w:ascii="標楷體" w:eastAsia="標楷體" w:hAnsi="標楷體" w:hint="eastAsia"/>
          <w:b/>
          <w:color w:val="000000" w:themeColor="text1"/>
          <w:sz w:val="32"/>
          <w:szCs w:val="32"/>
        </w:rPr>
        <w:t>受託辦理本國及外國發行人</w:t>
      </w:r>
      <w:r w:rsidRPr="00BA317A">
        <w:rPr>
          <w:rFonts w:ascii="標楷體" w:eastAsia="標楷體" w:hAnsi="標楷體"/>
          <w:b/>
          <w:color w:val="000000" w:themeColor="text1"/>
          <w:sz w:val="32"/>
          <w:szCs w:val="32"/>
        </w:rPr>
        <w:t>募集與發行有價證券</w:t>
      </w:r>
      <w:r w:rsidRPr="00BA317A">
        <w:rPr>
          <w:rFonts w:ascii="標楷體" w:eastAsia="標楷體" w:hAnsi="標楷體" w:hint="eastAsia"/>
          <w:b/>
          <w:color w:val="000000" w:themeColor="text1"/>
          <w:sz w:val="32"/>
          <w:szCs w:val="32"/>
        </w:rPr>
        <w:t>申報案件作業程序</w:t>
      </w:r>
      <w:r w:rsidRPr="00BA317A">
        <w:rPr>
          <w:rFonts w:ascii="標楷體" w:eastAsia="標楷體" w:hAnsi="標楷體"/>
          <w:b/>
          <w:color w:val="000000" w:themeColor="text1"/>
          <w:sz w:val="32"/>
          <w:szCs w:val="32"/>
        </w:rPr>
        <w:t>逐條說明</w:t>
      </w:r>
    </w:p>
    <w:tbl>
      <w:tblPr>
        <w:tblW w:w="8364" w:type="dxa"/>
        <w:tblInd w:w="28" w:type="dxa"/>
        <w:tblLayout w:type="fixed"/>
        <w:tblCellMar>
          <w:left w:w="28" w:type="dxa"/>
          <w:right w:w="28" w:type="dxa"/>
        </w:tblCellMar>
        <w:tblLook w:val="0000"/>
      </w:tblPr>
      <w:tblGrid>
        <w:gridCol w:w="4253"/>
        <w:gridCol w:w="4111"/>
      </w:tblGrid>
      <w:tr w:rsidR="002863CB" w:rsidRPr="00BA317A" w:rsidTr="004F1A83">
        <w:trPr>
          <w:tblHeader/>
        </w:trPr>
        <w:tc>
          <w:tcPr>
            <w:tcW w:w="4253" w:type="dxa"/>
            <w:tcBorders>
              <w:top w:val="single" w:sz="6" w:space="0" w:color="auto"/>
              <w:left w:val="single" w:sz="6" w:space="0" w:color="auto"/>
              <w:bottom w:val="single" w:sz="6" w:space="0" w:color="auto"/>
              <w:right w:val="single" w:sz="4" w:space="0" w:color="auto"/>
            </w:tcBorders>
          </w:tcPr>
          <w:p w:rsidR="002863CB" w:rsidRPr="00BA317A" w:rsidRDefault="002863CB" w:rsidP="004F1A83">
            <w:pPr>
              <w:autoSpaceDE w:val="0"/>
              <w:autoSpaceDN w:val="0"/>
              <w:adjustRightInd w:val="0"/>
              <w:jc w:val="center"/>
              <w:rPr>
                <w:rFonts w:ascii="標楷體" w:eastAsia="標楷體" w:hAnsi="標楷體"/>
                <w:color w:val="000000" w:themeColor="text1"/>
                <w:szCs w:val="24"/>
              </w:rPr>
            </w:pPr>
            <w:r w:rsidRPr="00BA317A">
              <w:rPr>
                <w:rFonts w:ascii="標楷體" w:eastAsia="標楷體" w:hAnsi="標楷體"/>
                <w:color w:val="000000" w:themeColor="text1"/>
                <w:szCs w:val="24"/>
                <w:lang w:val="zh-TW"/>
              </w:rPr>
              <w:t>條     文     草     案</w:t>
            </w:r>
          </w:p>
        </w:tc>
        <w:tc>
          <w:tcPr>
            <w:tcW w:w="4111" w:type="dxa"/>
            <w:tcBorders>
              <w:top w:val="single" w:sz="6" w:space="0" w:color="auto"/>
              <w:left w:val="single" w:sz="6" w:space="0" w:color="auto"/>
              <w:bottom w:val="single" w:sz="6" w:space="0" w:color="auto"/>
              <w:right w:val="single" w:sz="4" w:space="0" w:color="auto"/>
            </w:tcBorders>
          </w:tcPr>
          <w:p w:rsidR="002863CB" w:rsidRPr="00BA317A" w:rsidRDefault="002863CB" w:rsidP="004F1A83">
            <w:pPr>
              <w:autoSpaceDE w:val="0"/>
              <w:autoSpaceDN w:val="0"/>
              <w:adjustRightInd w:val="0"/>
              <w:jc w:val="center"/>
              <w:rPr>
                <w:rFonts w:ascii="標楷體" w:eastAsia="標楷體" w:hAnsi="標楷體"/>
                <w:color w:val="000000" w:themeColor="text1"/>
                <w:szCs w:val="24"/>
              </w:rPr>
            </w:pPr>
            <w:r w:rsidRPr="00BA317A">
              <w:rPr>
                <w:rFonts w:ascii="標楷體" w:eastAsia="標楷體" w:hAnsi="標楷體"/>
                <w:color w:val="000000" w:themeColor="text1"/>
                <w:szCs w:val="24"/>
              </w:rPr>
              <w:t>說               明</w:t>
            </w:r>
          </w:p>
        </w:tc>
      </w:tr>
      <w:tr w:rsidR="002863CB" w:rsidRPr="00BA317A" w:rsidTr="004F1A83">
        <w:trPr>
          <w:trHeight w:val="641"/>
        </w:trPr>
        <w:tc>
          <w:tcPr>
            <w:tcW w:w="4253" w:type="dxa"/>
            <w:tcBorders>
              <w:top w:val="single" w:sz="4" w:space="0" w:color="auto"/>
              <w:left w:val="single" w:sz="6" w:space="0" w:color="auto"/>
              <w:bottom w:val="single" w:sz="6" w:space="0" w:color="auto"/>
              <w:right w:val="single" w:sz="4" w:space="0" w:color="auto"/>
            </w:tcBorders>
          </w:tcPr>
          <w:p w:rsidR="002863CB" w:rsidRPr="00BA317A" w:rsidRDefault="002863CB" w:rsidP="002863CB">
            <w:pPr>
              <w:pStyle w:val="a3"/>
              <w:numPr>
                <w:ilvl w:val="0"/>
                <w:numId w:val="1"/>
              </w:numPr>
              <w:ind w:leftChars="0"/>
              <w:jc w:val="both"/>
              <w:rPr>
                <w:rFonts w:ascii="標楷體" w:eastAsia="標楷體" w:hAnsi="標楷體"/>
                <w:color w:val="000000" w:themeColor="text1"/>
                <w:szCs w:val="24"/>
              </w:rPr>
            </w:pPr>
          </w:p>
          <w:p w:rsidR="002863CB" w:rsidRPr="00BA317A" w:rsidRDefault="002863CB" w:rsidP="006B1917">
            <w:pPr>
              <w:ind w:firstLineChars="200" w:firstLine="480"/>
              <w:jc w:val="both"/>
              <w:rPr>
                <w:rFonts w:ascii="標楷體" w:eastAsia="標楷體" w:hAnsi="標楷體"/>
                <w:color w:val="000000" w:themeColor="text1"/>
                <w:szCs w:val="24"/>
              </w:rPr>
            </w:pPr>
            <w:r w:rsidRPr="00BA317A">
              <w:rPr>
                <w:rFonts w:ascii="標楷體" w:eastAsia="標楷體" w:hAnsi="標楷體" w:hint="eastAsia"/>
                <w:color w:val="000000" w:themeColor="text1"/>
                <w:szCs w:val="24"/>
              </w:rPr>
              <w:t>為執行</w:t>
            </w:r>
            <w:r w:rsidRPr="00BA317A">
              <w:rPr>
                <w:rFonts w:ascii="標楷體" w:eastAsia="標楷體" w:hAnsi="標楷體"/>
                <w:color w:val="000000" w:themeColor="text1"/>
                <w:szCs w:val="24"/>
              </w:rPr>
              <w:t>金融監督管理委員會</w:t>
            </w:r>
            <w:r w:rsidRPr="00BA317A">
              <w:rPr>
                <w:rFonts w:ascii="標楷體" w:eastAsia="標楷體" w:hAnsi="標楷體" w:hint="eastAsia"/>
                <w:color w:val="000000" w:themeColor="text1"/>
                <w:szCs w:val="24"/>
              </w:rPr>
              <w:t>(以下簡稱主管機關)依</w:t>
            </w:r>
            <w:r w:rsidR="00A65141" w:rsidRPr="00BA317A">
              <w:rPr>
                <w:rFonts w:ascii="標楷體" w:eastAsia="標楷體" w:hAnsi="標楷體" w:hint="eastAsia"/>
                <w:color w:val="000000" w:themeColor="text1"/>
                <w:szCs w:val="24"/>
              </w:rPr>
              <w:t>金融監督管理委員會</w:t>
            </w:r>
            <w:r w:rsidR="006B1917" w:rsidRPr="006B1917">
              <w:rPr>
                <w:rFonts w:ascii="標楷體" w:eastAsia="標楷體" w:hAnsi="標楷體" w:hint="eastAsia"/>
                <w:color w:val="000000" w:themeColor="text1"/>
                <w:szCs w:val="24"/>
              </w:rPr>
              <w:t>中華民國103年10月27日金管證發字第10300416756號</w:t>
            </w:r>
            <w:r w:rsidR="00A65141" w:rsidRPr="00BA317A">
              <w:rPr>
                <w:rFonts w:ascii="標楷體" w:eastAsia="標楷體" w:hAnsi="標楷體" w:hint="eastAsia"/>
                <w:color w:val="000000" w:themeColor="text1"/>
                <w:szCs w:val="24"/>
              </w:rPr>
              <w:t>公告、</w:t>
            </w:r>
            <w:r w:rsidRPr="00BA317A">
              <w:rPr>
                <w:rFonts w:ascii="標楷體" w:eastAsia="標楷體" w:hAnsi="標楷體" w:hint="eastAsia"/>
                <w:color w:val="000000" w:themeColor="text1"/>
                <w:szCs w:val="24"/>
              </w:rPr>
              <w:t>發行人募集與發行有價證券處理準則（以下簡稱募發準則）第十一條之一及</w:t>
            </w:r>
            <w:r w:rsidRPr="00BA317A">
              <w:rPr>
                <w:rFonts w:ascii="標楷體" w:eastAsia="標楷體" w:hAnsi="標楷體"/>
                <w:color w:val="000000" w:themeColor="text1"/>
                <w:szCs w:val="24"/>
              </w:rPr>
              <w:t>外國發行人募集與發行有價證券處理準則</w:t>
            </w:r>
            <w:r w:rsidRPr="00BA317A">
              <w:rPr>
                <w:rFonts w:ascii="標楷體" w:eastAsia="標楷體" w:hAnsi="標楷體" w:hint="eastAsia"/>
                <w:color w:val="000000" w:themeColor="text1"/>
                <w:szCs w:val="24"/>
              </w:rPr>
              <w:t>（以下簡稱外募發準則）第九條之一</w:t>
            </w:r>
            <w:r w:rsidR="00DB3641" w:rsidRPr="00BA317A">
              <w:rPr>
                <w:rFonts w:ascii="標楷體" w:eastAsia="標楷體" w:hAnsi="標楷體" w:hint="eastAsia"/>
                <w:color w:val="000000" w:themeColor="text1"/>
                <w:szCs w:val="24"/>
              </w:rPr>
              <w:t>規定，</w:t>
            </w:r>
            <w:r w:rsidRPr="00BA317A">
              <w:rPr>
                <w:rFonts w:ascii="標楷體" w:eastAsia="標楷體" w:hAnsi="標楷體" w:hint="eastAsia"/>
                <w:color w:val="000000" w:themeColor="text1"/>
                <w:szCs w:val="24"/>
              </w:rPr>
              <w:t>行政委託予本公司</w:t>
            </w:r>
            <w:r w:rsidR="00DB3641" w:rsidRPr="00BA317A">
              <w:rPr>
                <w:rFonts w:ascii="標楷體" w:eastAsia="標楷體" w:hAnsi="標楷體" w:hint="eastAsia"/>
                <w:color w:val="000000" w:themeColor="text1"/>
                <w:szCs w:val="24"/>
              </w:rPr>
              <w:t>受理</w:t>
            </w:r>
            <w:r w:rsidRPr="00BA317A">
              <w:rPr>
                <w:rFonts w:ascii="標楷體" w:eastAsia="標楷體" w:hAnsi="標楷體" w:hint="eastAsia"/>
                <w:color w:val="000000" w:themeColor="text1"/>
                <w:szCs w:val="24"/>
              </w:rPr>
              <w:t>之案件，訂定本作業程序。</w:t>
            </w:r>
          </w:p>
        </w:tc>
        <w:tc>
          <w:tcPr>
            <w:tcW w:w="4111" w:type="dxa"/>
            <w:tcBorders>
              <w:top w:val="single" w:sz="4" w:space="0" w:color="auto"/>
              <w:left w:val="single" w:sz="6" w:space="0" w:color="auto"/>
              <w:bottom w:val="single" w:sz="6" w:space="0" w:color="auto"/>
              <w:right w:val="single" w:sz="4" w:space="0" w:color="auto"/>
            </w:tcBorders>
          </w:tcPr>
          <w:p w:rsidR="002863CB" w:rsidRPr="00BA317A" w:rsidRDefault="002863CB" w:rsidP="004F1A83">
            <w:pPr>
              <w:autoSpaceDE w:val="0"/>
              <w:autoSpaceDN w:val="0"/>
              <w:adjustRightInd w:val="0"/>
              <w:jc w:val="both"/>
              <w:rPr>
                <w:rFonts w:ascii="標楷體" w:eastAsia="標楷體" w:hAnsi="標楷體"/>
                <w:color w:val="000000" w:themeColor="text1"/>
                <w:szCs w:val="24"/>
                <w:lang w:val="zh-TW"/>
              </w:rPr>
            </w:pPr>
            <w:r w:rsidRPr="00BA317A">
              <w:rPr>
                <w:rFonts w:ascii="標楷體" w:eastAsia="標楷體" w:hAnsi="標楷體"/>
                <w:color w:val="000000" w:themeColor="text1"/>
                <w:szCs w:val="24"/>
                <w:lang w:val="zh-TW"/>
              </w:rPr>
              <w:t>本</w:t>
            </w:r>
            <w:r w:rsidRPr="00BA317A">
              <w:rPr>
                <w:rFonts w:ascii="標楷體" w:eastAsia="標楷體" w:hAnsi="標楷體" w:hint="eastAsia"/>
                <w:color w:val="000000" w:themeColor="text1"/>
                <w:szCs w:val="24"/>
                <w:lang w:val="zh-TW"/>
              </w:rPr>
              <w:t>作業程序訂定緣由</w:t>
            </w:r>
            <w:r w:rsidRPr="00BA317A">
              <w:rPr>
                <w:rFonts w:ascii="標楷體" w:eastAsia="標楷體" w:hAnsi="標楷體"/>
                <w:color w:val="000000" w:themeColor="text1"/>
                <w:szCs w:val="24"/>
                <w:lang w:val="zh-TW"/>
              </w:rPr>
              <w:t>。</w:t>
            </w:r>
          </w:p>
        </w:tc>
      </w:tr>
      <w:tr w:rsidR="002863CB" w:rsidRPr="00BA317A" w:rsidTr="004F1A83">
        <w:trPr>
          <w:trHeight w:val="641"/>
        </w:trPr>
        <w:tc>
          <w:tcPr>
            <w:tcW w:w="4253" w:type="dxa"/>
            <w:tcBorders>
              <w:top w:val="single" w:sz="4" w:space="0" w:color="auto"/>
              <w:left w:val="single" w:sz="6" w:space="0" w:color="auto"/>
              <w:bottom w:val="single" w:sz="6" w:space="0" w:color="auto"/>
              <w:right w:val="single" w:sz="4" w:space="0" w:color="auto"/>
            </w:tcBorders>
          </w:tcPr>
          <w:p w:rsidR="002863CB" w:rsidRPr="00BA317A" w:rsidRDefault="002863CB" w:rsidP="002863CB">
            <w:pPr>
              <w:pStyle w:val="a3"/>
              <w:numPr>
                <w:ilvl w:val="0"/>
                <w:numId w:val="1"/>
              </w:numPr>
              <w:ind w:leftChars="0"/>
              <w:jc w:val="both"/>
              <w:rPr>
                <w:rFonts w:ascii="標楷體" w:eastAsia="標楷體" w:hAnsi="標楷體"/>
                <w:color w:val="000000" w:themeColor="text1"/>
                <w:szCs w:val="24"/>
              </w:rPr>
            </w:pPr>
          </w:p>
          <w:p w:rsidR="002863CB" w:rsidRPr="00BA317A" w:rsidRDefault="002863CB" w:rsidP="00A65141">
            <w:pPr>
              <w:ind w:firstLineChars="200" w:firstLine="480"/>
              <w:jc w:val="both"/>
              <w:rPr>
                <w:rFonts w:ascii="標楷體" w:eastAsia="標楷體" w:hAnsi="標楷體"/>
                <w:color w:val="000000" w:themeColor="text1"/>
                <w:szCs w:val="24"/>
              </w:rPr>
            </w:pPr>
            <w:r w:rsidRPr="00BA317A">
              <w:rPr>
                <w:rFonts w:ascii="標楷體" w:eastAsia="標楷體" w:hAnsi="標楷體" w:hint="eastAsia"/>
                <w:color w:val="000000" w:themeColor="text1"/>
                <w:szCs w:val="24"/>
              </w:rPr>
              <w:t>本公司受託辦理本國發行人</w:t>
            </w:r>
            <w:r w:rsidR="00A65141" w:rsidRPr="00BA317A">
              <w:rPr>
                <w:rFonts w:ascii="標楷體" w:eastAsia="標楷體" w:hAnsi="標楷體" w:hint="eastAsia"/>
                <w:color w:val="000000" w:themeColor="text1"/>
                <w:szCs w:val="24"/>
              </w:rPr>
              <w:t>申報</w:t>
            </w:r>
            <w:r w:rsidRPr="00BA317A">
              <w:rPr>
                <w:rFonts w:ascii="標楷體" w:eastAsia="標楷體" w:hAnsi="標楷體" w:hint="eastAsia"/>
                <w:color w:val="000000" w:themeColor="text1"/>
                <w:szCs w:val="24"/>
              </w:rPr>
              <w:t>初次上市前</w:t>
            </w:r>
            <w:r w:rsidR="00A65141" w:rsidRPr="00BA317A">
              <w:rPr>
                <w:rFonts w:ascii="標楷體" w:eastAsia="標楷體" w:hAnsi="標楷體" w:hint="eastAsia"/>
                <w:color w:val="000000" w:themeColor="text1"/>
                <w:szCs w:val="24"/>
              </w:rPr>
              <w:t>公開銷售之</w:t>
            </w:r>
            <w:r w:rsidRPr="00BA317A">
              <w:rPr>
                <w:rFonts w:ascii="標楷體" w:eastAsia="標楷體" w:hAnsi="標楷體" w:hint="eastAsia"/>
                <w:color w:val="000000" w:themeColor="text1"/>
                <w:szCs w:val="24"/>
              </w:rPr>
              <w:t>現金增資發行新股案件</w:t>
            </w:r>
            <w:r w:rsidR="00A65141" w:rsidRPr="00BA317A">
              <w:rPr>
                <w:rFonts w:ascii="標楷體" w:eastAsia="標楷體" w:hAnsi="標楷體" w:hint="eastAsia"/>
                <w:color w:val="000000" w:themeColor="text1"/>
                <w:szCs w:val="24"/>
              </w:rPr>
              <w:t>，</w:t>
            </w:r>
            <w:bookmarkStart w:id="0" w:name="_GoBack"/>
            <w:r w:rsidRPr="00BA317A">
              <w:rPr>
                <w:rFonts w:ascii="標楷體" w:eastAsia="標楷體" w:hAnsi="標楷體" w:hint="eastAsia"/>
                <w:color w:val="000000" w:themeColor="text1"/>
                <w:szCs w:val="24"/>
              </w:rPr>
              <w:t>暨外國發行人</w:t>
            </w:r>
            <w:r w:rsidR="00A65141" w:rsidRPr="00BA317A">
              <w:rPr>
                <w:rFonts w:ascii="標楷體" w:eastAsia="標楷體" w:hAnsi="標楷體" w:hint="eastAsia"/>
                <w:color w:val="000000" w:themeColor="text1"/>
                <w:szCs w:val="24"/>
              </w:rPr>
              <w:t>申報</w:t>
            </w:r>
            <w:r w:rsidRPr="00BA317A">
              <w:rPr>
                <w:rFonts w:ascii="標楷體" w:eastAsia="標楷體" w:hAnsi="標楷體" w:hint="eastAsia"/>
                <w:color w:val="000000" w:themeColor="text1"/>
                <w:szCs w:val="24"/>
              </w:rPr>
              <w:t>首次辦理股票公開發行及初次上市前</w:t>
            </w:r>
            <w:r w:rsidR="00A65141" w:rsidRPr="00BA317A">
              <w:rPr>
                <w:rFonts w:ascii="標楷體" w:eastAsia="標楷體" w:hAnsi="標楷體" w:hint="eastAsia"/>
                <w:color w:val="000000" w:themeColor="text1"/>
                <w:szCs w:val="24"/>
              </w:rPr>
              <w:t>公開銷售之</w:t>
            </w:r>
            <w:r w:rsidRPr="00BA317A">
              <w:rPr>
                <w:rFonts w:ascii="標楷體" w:eastAsia="標楷體" w:hAnsi="標楷體" w:hint="eastAsia"/>
                <w:color w:val="000000" w:themeColor="text1"/>
                <w:szCs w:val="24"/>
              </w:rPr>
              <w:t>現金增資發行新股案件，應依募發準則、</w:t>
            </w:r>
            <w:r w:rsidRPr="00BA317A">
              <w:rPr>
                <w:rFonts w:ascii="標楷體" w:eastAsia="標楷體" w:hAnsi="標楷體"/>
                <w:color w:val="000000" w:themeColor="text1"/>
                <w:szCs w:val="24"/>
              </w:rPr>
              <w:t>外募發準則</w:t>
            </w:r>
            <w:r w:rsidRPr="00BA317A">
              <w:rPr>
                <w:rFonts w:ascii="標楷體" w:eastAsia="標楷體" w:hAnsi="標楷體" w:hint="eastAsia"/>
                <w:color w:val="000000" w:themeColor="text1"/>
                <w:szCs w:val="24"/>
              </w:rPr>
              <w:t>及其他有關法令辦理。</w:t>
            </w:r>
            <w:bookmarkEnd w:id="0"/>
          </w:p>
        </w:tc>
        <w:tc>
          <w:tcPr>
            <w:tcW w:w="4111" w:type="dxa"/>
            <w:tcBorders>
              <w:top w:val="single" w:sz="4" w:space="0" w:color="auto"/>
              <w:left w:val="single" w:sz="6" w:space="0" w:color="auto"/>
              <w:bottom w:val="single" w:sz="6" w:space="0" w:color="auto"/>
              <w:right w:val="single" w:sz="4" w:space="0" w:color="auto"/>
            </w:tcBorders>
          </w:tcPr>
          <w:p w:rsidR="002863CB" w:rsidRPr="00BA317A" w:rsidRDefault="002863CB" w:rsidP="004F1A83">
            <w:pPr>
              <w:autoSpaceDE w:val="0"/>
              <w:autoSpaceDN w:val="0"/>
              <w:adjustRightInd w:val="0"/>
              <w:jc w:val="both"/>
              <w:rPr>
                <w:rFonts w:ascii="標楷體" w:eastAsia="標楷體" w:hAnsi="標楷體"/>
                <w:color w:val="000000" w:themeColor="text1"/>
                <w:szCs w:val="24"/>
                <w:lang w:val="zh-TW"/>
              </w:rPr>
            </w:pPr>
            <w:r w:rsidRPr="00BA317A">
              <w:rPr>
                <w:rFonts w:ascii="標楷體" w:eastAsia="標楷體" w:hAnsi="標楷體" w:hint="eastAsia"/>
                <w:color w:val="000000" w:themeColor="text1"/>
                <w:szCs w:val="24"/>
                <w:lang w:val="zh-TW"/>
              </w:rPr>
              <w:t>訂定本公司受託辦理本國及外國發行人</w:t>
            </w:r>
            <w:r w:rsidRPr="00BA317A">
              <w:rPr>
                <w:rFonts w:ascii="標楷體" w:eastAsia="標楷體" w:hAnsi="標楷體" w:hint="eastAsia"/>
                <w:color w:val="000000" w:themeColor="text1"/>
                <w:szCs w:val="24"/>
              </w:rPr>
              <w:t>相關申報案件應遵循之</w:t>
            </w:r>
            <w:r w:rsidRPr="00BA317A">
              <w:rPr>
                <w:rFonts w:ascii="標楷體" w:eastAsia="標楷體" w:hAnsi="標楷體" w:hint="eastAsia"/>
                <w:color w:val="000000" w:themeColor="text1"/>
                <w:szCs w:val="24"/>
                <w:lang w:val="zh-TW"/>
              </w:rPr>
              <w:t>法令規範。</w:t>
            </w:r>
          </w:p>
        </w:tc>
      </w:tr>
      <w:tr w:rsidR="002863CB" w:rsidRPr="00BA317A" w:rsidTr="004F1A83">
        <w:trPr>
          <w:trHeight w:val="641"/>
        </w:trPr>
        <w:tc>
          <w:tcPr>
            <w:tcW w:w="4253" w:type="dxa"/>
            <w:tcBorders>
              <w:top w:val="single" w:sz="4" w:space="0" w:color="auto"/>
              <w:left w:val="single" w:sz="6" w:space="0" w:color="auto"/>
              <w:bottom w:val="single" w:sz="6" w:space="0" w:color="auto"/>
              <w:right w:val="single" w:sz="4" w:space="0" w:color="auto"/>
            </w:tcBorders>
          </w:tcPr>
          <w:p w:rsidR="002863CB" w:rsidRPr="00BA317A" w:rsidRDefault="002863CB" w:rsidP="002863CB">
            <w:pPr>
              <w:pStyle w:val="a3"/>
              <w:numPr>
                <w:ilvl w:val="0"/>
                <w:numId w:val="1"/>
              </w:numPr>
              <w:ind w:leftChars="0"/>
              <w:jc w:val="both"/>
              <w:rPr>
                <w:rFonts w:ascii="標楷體" w:eastAsia="標楷體" w:hAnsi="標楷體"/>
                <w:color w:val="000000" w:themeColor="text1"/>
              </w:rPr>
            </w:pPr>
          </w:p>
          <w:p w:rsidR="002863CB" w:rsidRPr="00BA317A" w:rsidRDefault="002863CB" w:rsidP="004F1A83">
            <w:pPr>
              <w:ind w:firstLineChars="200" w:firstLine="480"/>
              <w:jc w:val="both"/>
              <w:rPr>
                <w:rFonts w:ascii="標楷體" w:eastAsia="標楷體" w:hAnsi="標楷體"/>
                <w:color w:val="000000" w:themeColor="text1"/>
              </w:rPr>
            </w:pPr>
            <w:r w:rsidRPr="00BA317A">
              <w:rPr>
                <w:rFonts w:ascii="標楷體" w:eastAsia="標楷體" w:hAnsi="標楷體" w:hint="eastAsia"/>
                <w:color w:val="000000" w:themeColor="text1"/>
                <w:szCs w:val="24"/>
              </w:rPr>
              <w:t>本國發行人</w:t>
            </w:r>
            <w:r w:rsidR="00A65141" w:rsidRPr="00BA317A">
              <w:rPr>
                <w:rFonts w:ascii="標楷體" w:eastAsia="標楷體" w:hAnsi="標楷體" w:hint="eastAsia"/>
                <w:color w:val="000000" w:themeColor="text1"/>
                <w:szCs w:val="24"/>
              </w:rPr>
              <w:t>申報</w:t>
            </w:r>
            <w:r w:rsidRPr="00BA317A">
              <w:rPr>
                <w:rFonts w:ascii="標楷體" w:eastAsia="標楷體" w:hAnsi="標楷體" w:hint="eastAsia"/>
                <w:color w:val="000000" w:themeColor="text1"/>
                <w:szCs w:val="24"/>
              </w:rPr>
              <w:t>初次上市前</w:t>
            </w:r>
            <w:r w:rsidR="00A65141" w:rsidRPr="00BA317A">
              <w:rPr>
                <w:rFonts w:ascii="標楷體" w:eastAsia="標楷體" w:hAnsi="標楷體" w:hint="eastAsia"/>
                <w:color w:val="000000" w:themeColor="text1"/>
                <w:szCs w:val="24"/>
              </w:rPr>
              <w:t>公開銷售之</w:t>
            </w:r>
            <w:r w:rsidRPr="00BA317A">
              <w:rPr>
                <w:rFonts w:ascii="標楷體" w:eastAsia="標楷體" w:hAnsi="標楷體" w:hint="eastAsia"/>
                <w:color w:val="000000" w:themeColor="text1"/>
                <w:szCs w:val="24"/>
              </w:rPr>
              <w:t>現金增資發行新股案件</w:t>
            </w:r>
            <w:r w:rsidR="00A65141" w:rsidRPr="00BA317A">
              <w:rPr>
                <w:rFonts w:ascii="標楷體" w:eastAsia="標楷體" w:hAnsi="標楷體" w:hint="eastAsia"/>
                <w:color w:val="000000" w:themeColor="text1"/>
                <w:szCs w:val="24"/>
              </w:rPr>
              <w:t>，</w:t>
            </w:r>
            <w:r w:rsidRPr="00BA317A">
              <w:rPr>
                <w:rFonts w:ascii="標楷體" w:eastAsia="標楷體" w:hAnsi="標楷體" w:hint="eastAsia"/>
                <w:color w:val="000000" w:themeColor="text1"/>
                <w:szCs w:val="24"/>
              </w:rPr>
              <w:t>或外國發行人</w:t>
            </w:r>
            <w:r w:rsidR="00A65141" w:rsidRPr="00BA317A">
              <w:rPr>
                <w:rFonts w:ascii="標楷體" w:eastAsia="標楷體" w:hAnsi="標楷體" w:hint="eastAsia"/>
                <w:color w:val="000000" w:themeColor="text1"/>
                <w:szCs w:val="24"/>
              </w:rPr>
              <w:t>申報</w:t>
            </w:r>
            <w:r w:rsidRPr="00BA317A">
              <w:rPr>
                <w:rFonts w:ascii="標楷體" w:eastAsia="標楷體" w:hAnsi="標楷體" w:hint="eastAsia"/>
                <w:color w:val="000000" w:themeColor="text1"/>
                <w:szCs w:val="24"/>
              </w:rPr>
              <w:t>首次辦理股票公開發行及初次上市前</w:t>
            </w:r>
            <w:r w:rsidR="00A65141" w:rsidRPr="00BA317A">
              <w:rPr>
                <w:rFonts w:ascii="標楷體" w:eastAsia="標楷體" w:hAnsi="標楷體" w:hint="eastAsia"/>
                <w:color w:val="000000" w:themeColor="text1"/>
                <w:szCs w:val="24"/>
              </w:rPr>
              <w:t>公開銷售之</w:t>
            </w:r>
            <w:r w:rsidRPr="00BA317A">
              <w:rPr>
                <w:rFonts w:ascii="標楷體" w:eastAsia="標楷體" w:hAnsi="標楷體" w:hint="eastAsia"/>
                <w:color w:val="000000" w:themeColor="text1"/>
                <w:szCs w:val="24"/>
              </w:rPr>
              <w:t>現金增資發行新股案件，應檢具</w:t>
            </w:r>
            <w:r w:rsidRPr="00BA317A">
              <w:rPr>
                <w:rFonts w:ascii="標楷體" w:eastAsia="標楷體" w:hAnsi="標楷體"/>
                <w:color w:val="000000" w:themeColor="text1"/>
                <w:szCs w:val="24"/>
                <w:lang w:val="zh-TW"/>
              </w:rPr>
              <w:t>申報書</w:t>
            </w:r>
            <w:r w:rsidRPr="00BA317A">
              <w:rPr>
                <w:rFonts w:ascii="標楷體" w:eastAsia="標楷體" w:hAnsi="標楷體" w:hint="eastAsia"/>
                <w:color w:val="000000" w:themeColor="text1"/>
                <w:szCs w:val="24"/>
                <w:lang w:val="zh-TW"/>
              </w:rPr>
              <w:t>(附表一至附表三)</w:t>
            </w:r>
            <w:r w:rsidRPr="00BA317A">
              <w:rPr>
                <w:rFonts w:ascii="新細明體" w:hAnsi="新細明體" w:hint="eastAsia"/>
                <w:color w:val="000000" w:themeColor="text1"/>
                <w:szCs w:val="24"/>
                <w:lang w:val="zh-TW"/>
              </w:rPr>
              <w:t>，</w:t>
            </w:r>
            <w:r w:rsidRPr="00BA317A">
              <w:rPr>
                <w:rFonts w:ascii="標楷體" w:eastAsia="標楷體" w:hAnsi="標楷體" w:hint="eastAsia"/>
                <w:color w:val="000000" w:themeColor="text1"/>
                <w:szCs w:val="24"/>
                <w:lang w:val="zh-TW"/>
              </w:rPr>
              <w:t>連同應</w:t>
            </w:r>
            <w:r w:rsidRPr="00BA317A">
              <w:rPr>
                <w:rFonts w:ascii="標楷體" w:eastAsia="標楷體" w:hAnsi="標楷體" w:hint="eastAsia"/>
                <w:color w:val="000000" w:themeColor="text1"/>
                <w:szCs w:val="24"/>
              </w:rPr>
              <w:t>檢附書件，向本公司申報。</w:t>
            </w:r>
          </w:p>
        </w:tc>
        <w:tc>
          <w:tcPr>
            <w:tcW w:w="4111" w:type="dxa"/>
            <w:tcBorders>
              <w:top w:val="single" w:sz="4" w:space="0" w:color="auto"/>
              <w:left w:val="single" w:sz="6" w:space="0" w:color="auto"/>
              <w:bottom w:val="single" w:sz="6" w:space="0" w:color="auto"/>
              <w:right w:val="single" w:sz="4" w:space="0" w:color="auto"/>
            </w:tcBorders>
          </w:tcPr>
          <w:p w:rsidR="002863CB" w:rsidRPr="00BA317A" w:rsidRDefault="002863CB" w:rsidP="004F1A83">
            <w:pPr>
              <w:autoSpaceDE w:val="0"/>
              <w:autoSpaceDN w:val="0"/>
              <w:adjustRightInd w:val="0"/>
              <w:jc w:val="both"/>
              <w:rPr>
                <w:rFonts w:ascii="標楷體" w:eastAsia="標楷體" w:hAnsi="標楷體"/>
                <w:color w:val="000000" w:themeColor="text1"/>
                <w:szCs w:val="24"/>
                <w:lang w:val="zh-TW"/>
              </w:rPr>
            </w:pPr>
            <w:r w:rsidRPr="00BA317A">
              <w:rPr>
                <w:rFonts w:ascii="標楷體" w:eastAsia="標楷體" w:hAnsi="標楷體" w:hint="eastAsia"/>
                <w:color w:val="000000" w:themeColor="text1"/>
                <w:szCs w:val="24"/>
                <w:lang w:val="zh-TW"/>
              </w:rPr>
              <w:t>訂定本國發行人或外國發行人申報相關案件應備齊申報書等向本公司申報。</w:t>
            </w:r>
          </w:p>
          <w:p w:rsidR="002863CB" w:rsidRPr="00BA317A" w:rsidRDefault="002863CB" w:rsidP="004F1A83">
            <w:pPr>
              <w:autoSpaceDE w:val="0"/>
              <w:autoSpaceDN w:val="0"/>
              <w:adjustRightInd w:val="0"/>
              <w:jc w:val="both"/>
              <w:rPr>
                <w:rFonts w:ascii="標楷體" w:eastAsia="標楷體" w:hAnsi="標楷體"/>
                <w:color w:val="000000" w:themeColor="text1"/>
                <w:szCs w:val="24"/>
                <w:lang w:val="zh-TW"/>
              </w:rPr>
            </w:pPr>
          </w:p>
        </w:tc>
      </w:tr>
      <w:tr w:rsidR="002863CB" w:rsidRPr="00BA317A" w:rsidTr="004F1A83">
        <w:trPr>
          <w:trHeight w:val="641"/>
        </w:trPr>
        <w:tc>
          <w:tcPr>
            <w:tcW w:w="4253" w:type="dxa"/>
            <w:tcBorders>
              <w:top w:val="single" w:sz="4" w:space="0" w:color="auto"/>
              <w:left w:val="single" w:sz="6" w:space="0" w:color="auto"/>
              <w:bottom w:val="single" w:sz="6" w:space="0" w:color="auto"/>
              <w:right w:val="single" w:sz="4" w:space="0" w:color="auto"/>
            </w:tcBorders>
          </w:tcPr>
          <w:p w:rsidR="002863CB" w:rsidRPr="00BA317A" w:rsidRDefault="002863CB" w:rsidP="002863CB">
            <w:pPr>
              <w:pStyle w:val="a3"/>
              <w:numPr>
                <w:ilvl w:val="0"/>
                <w:numId w:val="1"/>
              </w:numPr>
              <w:ind w:leftChars="0"/>
              <w:jc w:val="both"/>
              <w:rPr>
                <w:rFonts w:ascii="標楷體" w:eastAsia="標楷體" w:hAnsi="標楷體"/>
                <w:color w:val="000000" w:themeColor="text1"/>
                <w:szCs w:val="24"/>
              </w:rPr>
            </w:pPr>
          </w:p>
          <w:p w:rsidR="002863CB" w:rsidRPr="00BA317A" w:rsidRDefault="002863CB" w:rsidP="004F1A83">
            <w:pPr>
              <w:ind w:firstLineChars="200" w:firstLine="480"/>
              <w:jc w:val="both"/>
              <w:rPr>
                <w:rFonts w:ascii="標楷體" w:eastAsia="標楷體" w:hAnsi="標楷體"/>
                <w:color w:val="000000" w:themeColor="text1"/>
                <w:szCs w:val="24"/>
              </w:rPr>
            </w:pPr>
            <w:r w:rsidRPr="00BA317A">
              <w:rPr>
                <w:rFonts w:ascii="標楷體" w:eastAsia="標楷體" w:hAnsi="標楷體" w:hint="eastAsia"/>
                <w:color w:val="000000" w:themeColor="text1"/>
                <w:szCs w:val="24"/>
              </w:rPr>
              <w:t>本公司承辦人員於受理</w:t>
            </w:r>
            <w:r w:rsidR="0076277C" w:rsidRPr="00BA317A">
              <w:rPr>
                <w:rFonts w:ascii="標楷體" w:eastAsia="標楷體" w:hAnsi="標楷體" w:hint="eastAsia"/>
                <w:color w:val="000000" w:themeColor="text1"/>
                <w:szCs w:val="24"/>
              </w:rPr>
              <w:t>前</w:t>
            </w:r>
            <w:r w:rsidRPr="00BA317A">
              <w:rPr>
                <w:rFonts w:ascii="標楷體" w:eastAsia="標楷體" w:hAnsi="標楷體" w:hint="eastAsia"/>
                <w:color w:val="000000" w:themeColor="text1"/>
                <w:szCs w:val="24"/>
              </w:rPr>
              <w:t>條之案件</w:t>
            </w:r>
            <w:r w:rsidR="0076277C" w:rsidRPr="00BA317A">
              <w:rPr>
                <w:rFonts w:ascii="標楷體" w:eastAsia="標楷體" w:hAnsi="標楷體" w:hint="eastAsia"/>
                <w:color w:val="000000" w:themeColor="text1"/>
                <w:szCs w:val="24"/>
              </w:rPr>
              <w:t>後</w:t>
            </w:r>
            <w:r w:rsidRPr="00BA317A">
              <w:rPr>
                <w:rFonts w:ascii="標楷體" w:eastAsia="標楷體" w:hAnsi="標楷體"/>
                <w:color w:val="000000" w:themeColor="text1"/>
                <w:szCs w:val="24"/>
              </w:rPr>
              <w:t>，</w:t>
            </w:r>
            <w:r w:rsidRPr="00BA317A">
              <w:rPr>
                <w:rFonts w:ascii="標楷體" w:eastAsia="標楷體" w:hAnsi="標楷體" w:hint="eastAsia"/>
                <w:color w:val="000000" w:themeColor="text1"/>
                <w:szCs w:val="24"/>
              </w:rPr>
              <w:t>應執行下列作業:</w:t>
            </w:r>
          </w:p>
          <w:p w:rsidR="002863CB" w:rsidRPr="00BA317A" w:rsidRDefault="002863CB" w:rsidP="002863CB">
            <w:pPr>
              <w:pStyle w:val="a3"/>
              <w:numPr>
                <w:ilvl w:val="0"/>
                <w:numId w:val="3"/>
              </w:numPr>
              <w:ind w:leftChars="0" w:left="539" w:hanging="539"/>
              <w:jc w:val="both"/>
              <w:rPr>
                <w:rFonts w:ascii="新細明體" w:hAnsi="新細明體"/>
                <w:color w:val="000000" w:themeColor="text1"/>
              </w:rPr>
            </w:pPr>
            <w:r w:rsidRPr="00BA317A">
              <w:rPr>
                <w:rFonts w:ascii="標楷體" w:eastAsia="標楷體" w:hAnsi="標楷體" w:hint="eastAsia"/>
                <w:color w:val="000000" w:themeColor="text1"/>
              </w:rPr>
              <w:t>檢視申報書附件及副本抄送單位收據影本或相關證明是否齊備</w:t>
            </w:r>
            <w:r w:rsidRPr="00BA317A">
              <w:rPr>
                <w:rFonts w:ascii="新細明體" w:hAnsi="新細明體" w:hint="eastAsia"/>
                <w:color w:val="000000" w:themeColor="text1"/>
              </w:rPr>
              <w:t>。</w:t>
            </w:r>
          </w:p>
          <w:p w:rsidR="002863CB" w:rsidRPr="00BA317A" w:rsidRDefault="002863CB" w:rsidP="002863CB">
            <w:pPr>
              <w:pStyle w:val="a3"/>
              <w:numPr>
                <w:ilvl w:val="0"/>
                <w:numId w:val="3"/>
              </w:numPr>
              <w:ind w:leftChars="0" w:left="539" w:hanging="539"/>
              <w:jc w:val="both"/>
              <w:rPr>
                <w:rFonts w:ascii="標楷體" w:eastAsia="標楷體" w:hAnsi="標楷體"/>
                <w:color w:val="000000" w:themeColor="text1"/>
              </w:rPr>
            </w:pPr>
            <w:r w:rsidRPr="00BA317A">
              <w:rPr>
                <w:rFonts w:ascii="標楷體" w:eastAsia="標楷體" w:hAnsi="標楷體" w:hint="eastAsia"/>
                <w:color w:val="000000" w:themeColor="text1"/>
                <w:szCs w:val="24"/>
              </w:rPr>
              <w:t>檢視申報書件有關會計師</w:t>
            </w:r>
            <w:r w:rsidRPr="00BA317A">
              <w:rPr>
                <w:rFonts w:ascii="標楷體" w:eastAsia="標楷體" w:hAnsi="標楷體" w:hint="eastAsia"/>
                <w:color w:val="000000" w:themeColor="text1"/>
              </w:rPr>
              <w:t>之案件檢查表、律師法律意見書及檢查表或證券承銷商評估報告等是否涉有重大異常情事</w:t>
            </w:r>
            <w:r w:rsidRPr="00BA317A">
              <w:rPr>
                <w:rFonts w:ascii="新細明體" w:hAnsi="新細明體" w:hint="eastAsia"/>
                <w:color w:val="000000" w:themeColor="text1"/>
              </w:rPr>
              <w:t>。</w:t>
            </w:r>
          </w:p>
          <w:p w:rsidR="002863CB" w:rsidRPr="00BA317A" w:rsidRDefault="002863CB" w:rsidP="004F1A83">
            <w:pPr>
              <w:ind w:firstLineChars="200" w:firstLine="480"/>
              <w:jc w:val="both"/>
              <w:rPr>
                <w:rFonts w:ascii="標楷體" w:eastAsia="標楷體" w:hAnsi="標楷體"/>
                <w:color w:val="000000" w:themeColor="text1"/>
                <w:szCs w:val="24"/>
              </w:rPr>
            </w:pPr>
            <w:r w:rsidRPr="00BA317A">
              <w:rPr>
                <w:rFonts w:ascii="標楷體" w:eastAsia="標楷體" w:hAnsi="標楷體" w:hint="eastAsia"/>
                <w:color w:val="000000" w:themeColor="text1"/>
                <w:szCs w:val="24"/>
              </w:rPr>
              <w:lastRenderedPageBreak/>
              <w:t>本國發行人申報之案件，經本公司檢視後發現有募發準則所定得退回其案件之情形，本公司得退回其案件。</w:t>
            </w:r>
          </w:p>
          <w:p w:rsidR="002863CB" w:rsidRPr="00BA317A" w:rsidRDefault="002863CB" w:rsidP="00110D2C">
            <w:pPr>
              <w:ind w:firstLineChars="200" w:firstLine="480"/>
              <w:jc w:val="both"/>
              <w:rPr>
                <w:rFonts w:ascii="標楷體" w:eastAsia="標楷體" w:hAnsi="標楷體"/>
                <w:color w:val="000000" w:themeColor="text1"/>
                <w:szCs w:val="24"/>
              </w:rPr>
            </w:pPr>
            <w:r w:rsidRPr="00BA317A">
              <w:rPr>
                <w:rFonts w:ascii="標楷體" w:eastAsia="標楷體" w:hAnsi="標楷體" w:hint="eastAsia"/>
                <w:color w:val="000000" w:themeColor="text1"/>
                <w:szCs w:val="24"/>
              </w:rPr>
              <w:t>外國發行人申報之案件，經本公司檢視後發現有</w:t>
            </w:r>
            <w:r w:rsidRPr="00BA317A">
              <w:rPr>
                <w:rFonts w:ascii="標楷體" w:eastAsia="標楷體" w:hAnsi="標楷體"/>
                <w:color w:val="000000" w:themeColor="text1"/>
                <w:szCs w:val="24"/>
              </w:rPr>
              <w:t>外募發準則</w:t>
            </w:r>
            <w:r w:rsidRPr="00BA317A">
              <w:rPr>
                <w:rFonts w:ascii="標楷體" w:eastAsia="標楷體" w:hAnsi="標楷體" w:hint="eastAsia"/>
                <w:color w:val="000000" w:themeColor="text1"/>
                <w:szCs w:val="24"/>
              </w:rPr>
              <w:t>所定得退回其案件之情形，本公司得退回其案件。</w:t>
            </w:r>
          </w:p>
        </w:tc>
        <w:tc>
          <w:tcPr>
            <w:tcW w:w="4111" w:type="dxa"/>
            <w:tcBorders>
              <w:top w:val="single" w:sz="4" w:space="0" w:color="auto"/>
              <w:left w:val="single" w:sz="6" w:space="0" w:color="auto"/>
              <w:bottom w:val="single" w:sz="6" w:space="0" w:color="auto"/>
              <w:right w:val="single" w:sz="4" w:space="0" w:color="auto"/>
            </w:tcBorders>
          </w:tcPr>
          <w:p w:rsidR="002863CB" w:rsidRPr="00BA317A" w:rsidRDefault="002863CB" w:rsidP="004F1A83">
            <w:pPr>
              <w:autoSpaceDE w:val="0"/>
              <w:autoSpaceDN w:val="0"/>
              <w:adjustRightInd w:val="0"/>
              <w:jc w:val="both"/>
              <w:rPr>
                <w:rFonts w:ascii="標楷體" w:eastAsia="標楷體" w:hAnsi="標楷體"/>
                <w:color w:val="000000" w:themeColor="text1"/>
                <w:szCs w:val="24"/>
                <w:lang w:val="zh-TW"/>
              </w:rPr>
            </w:pPr>
            <w:r w:rsidRPr="00BA317A">
              <w:rPr>
                <w:rFonts w:ascii="標楷體" w:eastAsia="標楷體" w:hAnsi="標楷體" w:hint="eastAsia"/>
                <w:color w:val="000000" w:themeColor="text1"/>
                <w:szCs w:val="24"/>
                <w:lang w:val="zh-TW"/>
              </w:rPr>
              <w:lastRenderedPageBreak/>
              <w:t>訂定本公司承辦人員於辦理本國及外國發行人申報案件</w:t>
            </w:r>
            <w:r w:rsidRPr="00BA317A">
              <w:rPr>
                <w:rFonts w:ascii="標楷體" w:eastAsia="標楷體" w:hAnsi="標楷體" w:hint="eastAsia"/>
                <w:color w:val="000000" w:themeColor="text1"/>
                <w:szCs w:val="24"/>
              </w:rPr>
              <w:t>時，應執行之作業程序，及本公司得退回本國及外國發行人申報案件之情形。</w:t>
            </w:r>
          </w:p>
        </w:tc>
      </w:tr>
      <w:tr w:rsidR="002863CB" w:rsidRPr="00BA317A" w:rsidTr="004F1A83">
        <w:tc>
          <w:tcPr>
            <w:tcW w:w="4253" w:type="dxa"/>
            <w:tcBorders>
              <w:top w:val="single" w:sz="6" w:space="0" w:color="auto"/>
              <w:left w:val="single" w:sz="6" w:space="0" w:color="auto"/>
              <w:bottom w:val="single" w:sz="6" w:space="0" w:color="auto"/>
              <w:right w:val="single" w:sz="4" w:space="0" w:color="auto"/>
            </w:tcBorders>
          </w:tcPr>
          <w:p w:rsidR="002863CB" w:rsidRPr="00BA317A" w:rsidRDefault="002863CB" w:rsidP="002863CB">
            <w:pPr>
              <w:pStyle w:val="a3"/>
              <w:numPr>
                <w:ilvl w:val="0"/>
                <w:numId w:val="1"/>
              </w:numPr>
              <w:ind w:leftChars="0"/>
              <w:jc w:val="both"/>
              <w:rPr>
                <w:rFonts w:ascii="標楷體" w:eastAsia="標楷體" w:hAnsi="標楷體"/>
                <w:color w:val="000000" w:themeColor="text1"/>
                <w:szCs w:val="24"/>
              </w:rPr>
            </w:pPr>
          </w:p>
          <w:p w:rsidR="002863CB" w:rsidRPr="00BA317A" w:rsidRDefault="002863CB" w:rsidP="004F1A83">
            <w:pPr>
              <w:pStyle w:val="HTML"/>
              <w:ind w:firstLineChars="200" w:firstLine="480"/>
              <w:jc w:val="both"/>
              <w:rPr>
                <w:rFonts w:ascii="標楷體" w:eastAsia="標楷體" w:hAnsi="標楷體"/>
                <w:color w:val="000000" w:themeColor="text1"/>
              </w:rPr>
            </w:pPr>
            <w:r w:rsidRPr="00BA317A">
              <w:rPr>
                <w:rFonts w:ascii="標楷體" w:eastAsia="標楷體" w:hAnsi="標楷體" w:hint="eastAsia"/>
                <w:color w:val="000000" w:themeColor="text1"/>
              </w:rPr>
              <w:t>本國發行人申報之案件，於申報生效後，經本公司發現有募發準則所定得撤銷或廢止申報生效之情形，本公司得撤銷或廢止其申報生效。</w:t>
            </w:r>
          </w:p>
          <w:p w:rsidR="002863CB" w:rsidRPr="00BA317A" w:rsidRDefault="002863CB" w:rsidP="00EE3A8B">
            <w:pPr>
              <w:pStyle w:val="HTML"/>
              <w:ind w:firstLineChars="200" w:firstLine="480"/>
              <w:jc w:val="both"/>
              <w:rPr>
                <w:rFonts w:ascii="標楷體" w:eastAsia="標楷體" w:hAnsi="標楷體"/>
                <w:color w:val="000000" w:themeColor="text1"/>
              </w:rPr>
            </w:pPr>
            <w:r w:rsidRPr="00BA317A">
              <w:rPr>
                <w:rFonts w:ascii="標楷體" w:eastAsia="標楷體" w:hAnsi="標楷體"/>
                <w:color w:val="000000" w:themeColor="text1"/>
              </w:rPr>
              <w:t>外國發行人申報</w:t>
            </w:r>
            <w:r w:rsidRPr="00BA317A">
              <w:rPr>
                <w:rFonts w:ascii="標楷體" w:eastAsia="標楷體" w:hAnsi="標楷體" w:hint="eastAsia"/>
                <w:color w:val="000000" w:themeColor="text1"/>
              </w:rPr>
              <w:t>之案件</w:t>
            </w:r>
            <w:r w:rsidRPr="00BA317A">
              <w:rPr>
                <w:rFonts w:ascii="標楷體" w:eastAsia="標楷體" w:hAnsi="標楷體"/>
                <w:color w:val="000000" w:themeColor="text1"/>
              </w:rPr>
              <w:t>，於申報生效後，</w:t>
            </w:r>
            <w:r w:rsidRPr="00BA317A">
              <w:rPr>
                <w:rFonts w:ascii="標楷體" w:eastAsia="標楷體" w:hAnsi="標楷體" w:hint="eastAsia"/>
                <w:color w:val="000000" w:themeColor="text1"/>
              </w:rPr>
              <w:t>經本公司</w:t>
            </w:r>
            <w:r w:rsidRPr="00BA317A">
              <w:rPr>
                <w:rFonts w:ascii="標楷體" w:eastAsia="標楷體" w:hAnsi="標楷體"/>
                <w:color w:val="000000" w:themeColor="text1"/>
              </w:rPr>
              <w:t>發現有外募發準則</w:t>
            </w:r>
            <w:r w:rsidRPr="00BA317A">
              <w:rPr>
                <w:rFonts w:ascii="標楷體" w:eastAsia="標楷體" w:hAnsi="標楷體" w:hint="eastAsia"/>
                <w:color w:val="000000" w:themeColor="text1"/>
              </w:rPr>
              <w:t>所定得撤銷或廢止申報生效之情形，</w:t>
            </w:r>
            <w:r w:rsidRPr="00BA317A">
              <w:rPr>
                <w:rFonts w:ascii="標楷體" w:eastAsia="標楷體" w:hAnsi="標楷體"/>
                <w:color w:val="000000" w:themeColor="text1"/>
              </w:rPr>
              <w:t>本公司得撤銷或廢止其申報生效</w:t>
            </w:r>
            <w:r w:rsidRPr="00BA317A">
              <w:rPr>
                <w:rFonts w:ascii="標楷體" w:eastAsia="標楷體" w:hAnsi="標楷體" w:hint="eastAsia"/>
                <w:color w:val="000000" w:themeColor="text1"/>
              </w:rPr>
              <w:t>。</w:t>
            </w:r>
          </w:p>
        </w:tc>
        <w:tc>
          <w:tcPr>
            <w:tcW w:w="4111" w:type="dxa"/>
            <w:tcBorders>
              <w:top w:val="single" w:sz="6" w:space="0" w:color="auto"/>
              <w:left w:val="single" w:sz="6" w:space="0" w:color="auto"/>
              <w:bottom w:val="single" w:sz="6" w:space="0" w:color="auto"/>
              <w:right w:val="single" w:sz="4" w:space="0" w:color="auto"/>
            </w:tcBorders>
          </w:tcPr>
          <w:p w:rsidR="002863CB" w:rsidRPr="00BA317A" w:rsidRDefault="002863CB" w:rsidP="004F1A83">
            <w:pPr>
              <w:tabs>
                <w:tab w:val="left" w:pos="514"/>
              </w:tabs>
              <w:autoSpaceDE w:val="0"/>
              <w:autoSpaceDN w:val="0"/>
              <w:adjustRightInd w:val="0"/>
              <w:jc w:val="both"/>
              <w:rPr>
                <w:rFonts w:ascii="標楷體" w:eastAsia="標楷體" w:hAnsi="標楷體"/>
                <w:color w:val="000000" w:themeColor="text1"/>
                <w:szCs w:val="24"/>
              </w:rPr>
            </w:pPr>
            <w:r w:rsidRPr="00BA317A">
              <w:rPr>
                <w:rFonts w:ascii="標楷體" w:eastAsia="標楷體" w:hAnsi="標楷體" w:hint="eastAsia"/>
                <w:color w:val="000000" w:themeColor="text1"/>
                <w:szCs w:val="24"/>
              </w:rPr>
              <w:t>訂定</w:t>
            </w:r>
            <w:r w:rsidRPr="00BA317A">
              <w:rPr>
                <w:rFonts w:ascii="標楷體" w:eastAsia="標楷體" w:hAnsi="標楷體" w:hint="eastAsia"/>
                <w:color w:val="000000" w:themeColor="text1"/>
                <w:szCs w:val="24"/>
                <w:lang w:val="zh-TW"/>
              </w:rPr>
              <w:t>本公司得撤銷或廢止</w:t>
            </w:r>
            <w:r w:rsidRPr="00BA317A">
              <w:rPr>
                <w:rFonts w:ascii="標楷體" w:eastAsia="標楷體" w:hAnsi="標楷體"/>
                <w:color w:val="000000" w:themeColor="text1"/>
                <w:szCs w:val="24"/>
                <w:lang w:val="zh-TW"/>
              </w:rPr>
              <w:t>申報</w:t>
            </w:r>
            <w:r w:rsidRPr="00BA317A">
              <w:rPr>
                <w:rFonts w:ascii="標楷體" w:eastAsia="標楷體" w:hAnsi="標楷體" w:hint="eastAsia"/>
                <w:color w:val="000000" w:themeColor="text1"/>
                <w:szCs w:val="24"/>
                <w:lang w:val="zh-TW"/>
              </w:rPr>
              <w:t>生效之情形。</w:t>
            </w:r>
          </w:p>
        </w:tc>
      </w:tr>
      <w:tr w:rsidR="002863CB" w:rsidRPr="00BA317A" w:rsidTr="004F1A83">
        <w:tc>
          <w:tcPr>
            <w:tcW w:w="4253" w:type="dxa"/>
            <w:tcBorders>
              <w:top w:val="single" w:sz="6" w:space="0" w:color="auto"/>
              <w:left w:val="single" w:sz="6" w:space="0" w:color="auto"/>
              <w:bottom w:val="single" w:sz="6" w:space="0" w:color="auto"/>
              <w:right w:val="single" w:sz="4" w:space="0" w:color="auto"/>
            </w:tcBorders>
          </w:tcPr>
          <w:p w:rsidR="002863CB" w:rsidRPr="00BA317A" w:rsidRDefault="002863CB" w:rsidP="002863CB">
            <w:pPr>
              <w:pStyle w:val="a3"/>
              <w:numPr>
                <w:ilvl w:val="0"/>
                <w:numId w:val="1"/>
              </w:numPr>
              <w:ind w:leftChars="0"/>
              <w:jc w:val="both"/>
              <w:rPr>
                <w:rFonts w:ascii="標楷體" w:eastAsia="標楷體" w:hAnsi="標楷體"/>
                <w:color w:val="000000" w:themeColor="text1"/>
                <w:szCs w:val="24"/>
              </w:rPr>
            </w:pPr>
          </w:p>
          <w:p w:rsidR="002863CB" w:rsidRPr="00BA317A" w:rsidRDefault="002863CB" w:rsidP="004F1A83">
            <w:pPr>
              <w:ind w:firstLineChars="200" w:firstLine="480"/>
              <w:jc w:val="both"/>
              <w:rPr>
                <w:rFonts w:ascii="標楷體" w:eastAsia="標楷體" w:hAnsi="標楷體"/>
                <w:color w:val="000000" w:themeColor="text1"/>
                <w:szCs w:val="24"/>
              </w:rPr>
            </w:pPr>
            <w:r w:rsidRPr="00BA317A">
              <w:rPr>
                <w:rFonts w:ascii="標楷體" w:eastAsia="標楷體" w:hAnsi="標楷體"/>
                <w:color w:val="000000" w:themeColor="text1"/>
                <w:szCs w:val="24"/>
              </w:rPr>
              <w:t>本作業程序</w:t>
            </w:r>
            <w:r w:rsidRPr="00BA317A">
              <w:rPr>
                <w:rFonts w:ascii="標楷體" w:eastAsia="標楷體" w:hAnsi="標楷體" w:hint="eastAsia"/>
                <w:color w:val="000000" w:themeColor="text1"/>
                <w:szCs w:val="24"/>
              </w:rPr>
              <w:t>經報請主管機關核定後公告實施，修正時亦同</w:t>
            </w:r>
            <w:r w:rsidRPr="00BA317A">
              <w:rPr>
                <w:rFonts w:ascii="標楷體" w:eastAsia="標楷體" w:hAnsi="標楷體"/>
                <w:color w:val="000000" w:themeColor="text1"/>
                <w:szCs w:val="24"/>
              </w:rPr>
              <w:t>。</w:t>
            </w:r>
            <w:r w:rsidRPr="00BA317A">
              <w:rPr>
                <w:rFonts w:ascii="標楷體" w:eastAsia="標楷體" w:hAnsi="標楷體" w:hint="eastAsia"/>
                <w:color w:val="000000" w:themeColor="text1"/>
                <w:szCs w:val="24"/>
              </w:rPr>
              <w:t>本作業程序之附表奉本公司總經理核定後施行，修正時亦同。</w:t>
            </w:r>
          </w:p>
        </w:tc>
        <w:tc>
          <w:tcPr>
            <w:tcW w:w="4111" w:type="dxa"/>
            <w:tcBorders>
              <w:top w:val="single" w:sz="6" w:space="0" w:color="auto"/>
              <w:left w:val="single" w:sz="6" w:space="0" w:color="auto"/>
              <w:bottom w:val="single" w:sz="6" w:space="0" w:color="auto"/>
              <w:right w:val="single" w:sz="4" w:space="0" w:color="auto"/>
            </w:tcBorders>
          </w:tcPr>
          <w:p w:rsidR="002863CB" w:rsidRPr="00BA317A" w:rsidRDefault="002863CB" w:rsidP="004F1A83">
            <w:pPr>
              <w:autoSpaceDE w:val="0"/>
              <w:autoSpaceDN w:val="0"/>
              <w:adjustRightInd w:val="0"/>
              <w:jc w:val="both"/>
              <w:rPr>
                <w:rFonts w:ascii="標楷體" w:eastAsia="標楷體" w:hAnsi="標楷體"/>
                <w:color w:val="000000" w:themeColor="text1"/>
                <w:szCs w:val="24"/>
              </w:rPr>
            </w:pPr>
            <w:r w:rsidRPr="00BA317A">
              <w:rPr>
                <w:rFonts w:ascii="標楷體" w:eastAsia="標楷體" w:hAnsi="標楷體"/>
                <w:color w:val="000000" w:themeColor="text1"/>
                <w:szCs w:val="24"/>
                <w:lang w:val="zh-TW"/>
              </w:rPr>
              <w:t>本作業程序</w:t>
            </w:r>
            <w:r w:rsidRPr="00BA317A">
              <w:rPr>
                <w:rFonts w:ascii="標楷體" w:eastAsia="標楷體" w:hAnsi="標楷體" w:hint="eastAsia"/>
                <w:color w:val="000000" w:themeColor="text1"/>
                <w:szCs w:val="24"/>
                <w:lang w:val="zh-TW"/>
              </w:rPr>
              <w:t>及附表</w:t>
            </w:r>
            <w:r w:rsidRPr="00BA317A">
              <w:rPr>
                <w:rFonts w:ascii="標楷體" w:eastAsia="標楷體" w:hAnsi="標楷體"/>
                <w:color w:val="000000" w:themeColor="text1"/>
                <w:szCs w:val="24"/>
                <w:lang w:val="zh-TW"/>
              </w:rPr>
              <w:t>之施行日期</w:t>
            </w:r>
            <w:r w:rsidRPr="00BA317A">
              <w:rPr>
                <w:rFonts w:ascii="標楷體" w:eastAsia="標楷體" w:hAnsi="標楷體" w:hint="eastAsia"/>
                <w:color w:val="000000" w:themeColor="text1"/>
                <w:szCs w:val="24"/>
                <w:lang w:val="zh-TW"/>
              </w:rPr>
              <w:t>及修正程序</w:t>
            </w:r>
            <w:r w:rsidRPr="00BA317A">
              <w:rPr>
                <w:rFonts w:ascii="標楷體" w:eastAsia="標楷體" w:hAnsi="標楷體"/>
                <w:color w:val="000000" w:themeColor="text1"/>
                <w:szCs w:val="24"/>
                <w:lang w:val="zh-TW"/>
              </w:rPr>
              <w:t>。</w:t>
            </w:r>
          </w:p>
        </w:tc>
      </w:tr>
    </w:tbl>
    <w:p w:rsidR="002863CB" w:rsidRPr="00BA317A" w:rsidRDefault="002863CB" w:rsidP="002863CB">
      <w:pPr>
        <w:tabs>
          <w:tab w:val="left" w:pos="2989"/>
        </w:tabs>
        <w:rPr>
          <w:rFonts w:ascii="標楷體" w:eastAsia="標楷體" w:hAnsi="標楷體"/>
          <w:color w:val="000000" w:themeColor="text1"/>
          <w:szCs w:val="24"/>
        </w:rPr>
      </w:pPr>
    </w:p>
    <w:p w:rsidR="00946EEE" w:rsidRPr="00BA317A" w:rsidRDefault="00946EEE">
      <w:pPr>
        <w:rPr>
          <w:color w:val="000000" w:themeColor="text1"/>
        </w:rPr>
      </w:pPr>
    </w:p>
    <w:sectPr w:rsidR="00946EEE" w:rsidRPr="00BA317A" w:rsidSect="00A92EF8">
      <w:footerReference w:type="default" r:id="rId7"/>
      <w:pgSz w:w="11906" w:h="16838"/>
      <w:pgMar w:top="1276" w:right="1800" w:bottom="1276"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AC1" w:rsidRDefault="003B4AC1">
      <w:r>
        <w:separator/>
      </w:r>
    </w:p>
  </w:endnote>
  <w:endnote w:type="continuationSeparator" w:id="0">
    <w:p w:rsidR="003B4AC1" w:rsidRDefault="003B4AC1">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A00002FF" w:usb1="28CFFCFA" w:usb2="00000016" w:usb3="00000000" w:csb0="00100001" w:csb1="00000000"/>
  </w:font>
  <w:font w:name="細明體">
    <w:altName w:val="MingLiU"/>
    <w:panose1 w:val="020203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09E" w:rsidRDefault="00910FE6">
    <w:pPr>
      <w:pStyle w:val="a4"/>
      <w:jc w:val="center"/>
    </w:pPr>
    <w:r w:rsidRPr="00910FE6">
      <w:fldChar w:fldCharType="begin"/>
    </w:r>
    <w:r w:rsidR="0076277C">
      <w:instrText xml:space="preserve"> PAGE   \* MERGEFORMAT </w:instrText>
    </w:r>
    <w:r w:rsidRPr="00910FE6">
      <w:fldChar w:fldCharType="separate"/>
    </w:r>
    <w:r w:rsidR="00BE141C" w:rsidRPr="00BE141C">
      <w:rPr>
        <w:noProof/>
        <w:lang w:val="zh-TW"/>
      </w:rPr>
      <w:t>3</w:t>
    </w:r>
    <w:r>
      <w:rPr>
        <w:noProof/>
        <w:lang w:val="zh-TW"/>
      </w:rPr>
      <w:fldChar w:fldCharType="end"/>
    </w:r>
  </w:p>
  <w:p w:rsidR="008B009E" w:rsidRDefault="003B4AC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AC1" w:rsidRDefault="003B4AC1">
      <w:r>
        <w:separator/>
      </w:r>
    </w:p>
  </w:footnote>
  <w:footnote w:type="continuationSeparator" w:id="0">
    <w:p w:rsidR="003B4AC1" w:rsidRDefault="003B4A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3327C"/>
    <w:multiLevelType w:val="hybridMultilevel"/>
    <w:tmpl w:val="4154B712"/>
    <w:lvl w:ilvl="0" w:tplc="48FA1258">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3033558"/>
    <w:multiLevelType w:val="hybridMultilevel"/>
    <w:tmpl w:val="4C583DD4"/>
    <w:lvl w:ilvl="0" w:tplc="0CECFBC0">
      <w:start w:val="1"/>
      <w:numFmt w:val="taiwaneseCountingThousand"/>
      <w:lvlText w:val="%1、"/>
      <w:lvlJc w:val="left"/>
      <w:pPr>
        <w:ind w:left="764" w:hanging="480"/>
      </w:pPr>
      <w:rPr>
        <w:rFonts w:ascii="標楷體" w:eastAsia="標楷體" w:hAnsi="標楷體"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nsid w:val="67463C9C"/>
    <w:multiLevelType w:val="hybridMultilevel"/>
    <w:tmpl w:val="DEC0EE52"/>
    <w:lvl w:ilvl="0" w:tplc="3FEA5C6A">
      <w:start w:val="1"/>
      <w:numFmt w:val="taiwaneseCountingThousand"/>
      <w:lvlText w:val="第%1條"/>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63CB"/>
    <w:rsid w:val="00110D2C"/>
    <w:rsid w:val="002414E4"/>
    <w:rsid w:val="00273956"/>
    <w:rsid w:val="002863CB"/>
    <w:rsid w:val="002B45DD"/>
    <w:rsid w:val="003223BE"/>
    <w:rsid w:val="00322EE5"/>
    <w:rsid w:val="003B4AC1"/>
    <w:rsid w:val="00520345"/>
    <w:rsid w:val="00591605"/>
    <w:rsid w:val="0059398C"/>
    <w:rsid w:val="006B1917"/>
    <w:rsid w:val="0076277C"/>
    <w:rsid w:val="00792B35"/>
    <w:rsid w:val="007D3F18"/>
    <w:rsid w:val="008C35AB"/>
    <w:rsid w:val="00910FE6"/>
    <w:rsid w:val="00946EEE"/>
    <w:rsid w:val="00994C96"/>
    <w:rsid w:val="009C492F"/>
    <w:rsid w:val="00A65141"/>
    <w:rsid w:val="00A67697"/>
    <w:rsid w:val="00BA317A"/>
    <w:rsid w:val="00BE141C"/>
    <w:rsid w:val="00CF73A0"/>
    <w:rsid w:val="00D1469E"/>
    <w:rsid w:val="00D6638F"/>
    <w:rsid w:val="00DB3641"/>
    <w:rsid w:val="00EB5B88"/>
    <w:rsid w:val="00ED45D8"/>
    <w:rsid w:val="00EE3A8B"/>
    <w:rsid w:val="00F2361C"/>
    <w:rsid w:val="00F6284F"/>
    <w:rsid w:val="00F918D2"/>
    <w:rsid w:val="00F979A1"/>
    <w:rsid w:val="00FF2E2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3C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3CB"/>
    <w:pPr>
      <w:ind w:leftChars="200" w:left="480"/>
    </w:pPr>
  </w:style>
  <w:style w:type="paragraph" w:styleId="HTML">
    <w:name w:val="HTML Preformatted"/>
    <w:basedOn w:val="a"/>
    <w:link w:val="HTML0"/>
    <w:uiPriority w:val="99"/>
    <w:unhideWhenUsed/>
    <w:rsid w:val="002863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2863CB"/>
    <w:rPr>
      <w:rFonts w:ascii="細明體" w:eastAsia="細明體" w:hAnsi="細明體" w:cs="細明體"/>
      <w:color w:val="333333"/>
      <w:kern w:val="0"/>
      <w:szCs w:val="24"/>
    </w:rPr>
  </w:style>
  <w:style w:type="paragraph" w:styleId="a4">
    <w:name w:val="footer"/>
    <w:basedOn w:val="a"/>
    <w:link w:val="a5"/>
    <w:uiPriority w:val="99"/>
    <w:unhideWhenUsed/>
    <w:rsid w:val="002863CB"/>
    <w:pPr>
      <w:tabs>
        <w:tab w:val="center" w:pos="4153"/>
        <w:tab w:val="right" w:pos="8306"/>
      </w:tabs>
      <w:snapToGrid w:val="0"/>
    </w:pPr>
    <w:rPr>
      <w:sz w:val="20"/>
      <w:szCs w:val="20"/>
    </w:rPr>
  </w:style>
  <w:style w:type="character" w:customStyle="1" w:styleId="a5">
    <w:name w:val="頁尾 字元"/>
    <w:basedOn w:val="a0"/>
    <w:link w:val="a4"/>
    <w:uiPriority w:val="99"/>
    <w:rsid w:val="002863CB"/>
    <w:rPr>
      <w:rFonts w:ascii="Calibri" w:eastAsia="新細明體" w:hAnsi="Calibri" w:cs="Times New Roman"/>
      <w:sz w:val="20"/>
      <w:szCs w:val="20"/>
    </w:rPr>
  </w:style>
  <w:style w:type="paragraph" w:styleId="a6">
    <w:name w:val="header"/>
    <w:basedOn w:val="a"/>
    <w:link w:val="a7"/>
    <w:uiPriority w:val="99"/>
    <w:semiHidden/>
    <w:unhideWhenUsed/>
    <w:rsid w:val="00BA317A"/>
    <w:pPr>
      <w:tabs>
        <w:tab w:val="center" w:pos="4153"/>
        <w:tab w:val="right" w:pos="8306"/>
      </w:tabs>
      <w:snapToGrid w:val="0"/>
    </w:pPr>
    <w:rPr>
      <w:sz w:val="20"/>
      <w:szCs w:val="20"/>
    </w:rPr>
  </w:style>
  <w:style w:type="character" w:customStyle="1" w:styleId="a7">
    <w:name w:val="頁首 字元"/>
    <w:basedOn w:val="a0"/>
    <w:link w:val="a6"/>
    <w:uiPriority w:val="99"/>
    <w:semiHidden/>
    <w:rsid w:val="00BA317A"/>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3C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3CB"/>
    <w:pPr>
      <w:ind w:leftChars="200" w:left="480"/>
    </w:pPr>
  </w:style>
  <w:style w:type="paragraph" w:styleId="HTML">
    <w:name w:val="HTML Preformatted"/>
    <w:basedOn w:val="a"/>
    <w:link w:val="HTML0"/>
    <w:uiPriority w:val="99"/>
    <w:unhideWhenUsed/>
    <w:rsid w:val="002863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2863CB"/>
    <w:rPr>
      <w:rFonts w:ascii="細明體" w:eastAsia="細明體" w:hAnsi="細明體" w:cs="細明體"/>
      <w:color w:val="333333"/>
      <w:kern w:val="0"/>
      <w:szCs w:val="24"/>
    </w:rPr>
  </w:style>
  <w:style w:type="paragraph" w:styleId="a4">
    <w:name w:val="footer"/>
    <w:basedOn w:val="a"/>
    <w:link w:val="a5"/>
    <w:uiPriority w:val="99"/>
    <w:unhideWhenUsed/>
    <w:rsid w:val="002863CB"/>
    <w:pPr>
      <w:tabs>
        <w:tab w:val="center" w:pos="4153"/>
        <w:tab w:val="right" w:pos="8306"/>
      </w:tabs>
      <w:snapToGrid w:val="0"/>
    </w:pPr>
    <w:rPr>
      <w:sz w:val="20"/>
      <w:szCs w:val="20"/>
    </w:rPr>
  </w:style>
  <w:style w:type="character" w:customStyle="1" w:styleId="a5">
    <w:name w:val="頁尾 字元"/>
    <w:basedOn w:val="a0"/>
    <w:link w:val="a4"/>
    <w:uiPriority w:val="99"/>
    <w:rsid w:val="002863CB"/>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217</Words>
  <Characters>1240</Characters>
  <Application>Microsoft Office Word</Application>
  <DocSecurity>0</DocSecurity>
  <Lines>10</Lines>
  <Paragraphs>2</Paragraphs>
  <ScaleCrop>false</ScaleCrop>
  <Company>Hewlett-Packard Company</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1016</dc:creator>
  <cp:lastModifiedBy>1016</cp:lastModifiedBy>
  <cp:revision>7</cp:revision>
  <dcterms:created xsi:type="dcterms:W3CDTF">2014-09-11T06:25:00Z</dcterms:created>
  <dcterms:modified xsi:type="dcterms:W3CDTF">2014-10-22T09:31:00Z</dcterms:modified>
</cp:coreProperties>
</file>