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485" w:rsidRPr="00194FC6" w:rsidRDefault="00090F22" w:rsidP="00E51AAE">
      <w:pPr>
        <w:jc w:val="center"/>
        <w:rPr>
          <w:rFonts w:ascii="標楷體" w:eastAsia="標楷體" w:hAnsi="標楷體"/>
          <w:b/>
          <w:bCs/>
          <w:sz w:val="30"/>
          <w:szCs w:val="30"/>
        </w:rPr>
      </w:pPr>
      <w:r w:rsidRPr="00194FC6">
        <w:rPr>
          <w:rFonts w:ascii="標楷體" w:eastAsia="標楷體" w:hAnsi="標楷體"/>
          <w:b/>
          <w:bCs/>
          <w:sz w:val="30"/>
          <w:szCs w:val="30"/>
        </w:rPr>
        <w:t>信用交易資</w:t>
      </w:r>
      <w:proofErr w:type="gramStart"/>
      <w:r w:rsidRPr="00194FC6">
        <w:rPr>
          <w:rFonts w:ascii="標楷體" w:eastAsia="標楷體" w:hAnsi="標楷體"/>
          <w:b/>
          <w:bCs/>
          <w:sz w:val="30"/>
          <w:szCs w:val="30"/>
        </w:rPr>
        <w:t>券</w:t>
      </w:r>
      <w:proofErr w:type="gramEnd"/>
      <w:r w:rsidRPr="00194FC6">
        <w:rPr>
          <w:rFonts w:ascii="標楷體" w:eastAsia="標楷體" w:hAnsi="標楷體"/>
          <w:b/>
          <w:bCs/>
          <w:sz w:val="30"/>
          <w:szCs w:val="30"/>
        </w:rPr>
        <w:t>相抵交割之交易作業要點</w:t>
      </w:r>
      <w:r w:rsidR="00E97A4A" w:rsidRPr="00194FC6">
        <w:rPr>
          <w:rFonts w:ascii="標楷體" w:eastAsia="標楷體" w:hAnsi="標楷體" w:hint="eastAsia"/>
          <w:b/>
          <w:bCs/>
          <w:sz w:val="30"/>
          <w:szCs w:val="30"/>
        </w:rPr>
        <w:t>修正條文對照表</w:t>
      </w:r>
    </w:p>
    <w:tbl>
      <w:tblPr>
        <w:tblStyle w:val="a3"/>
        <w:tblW w:w="0" w:type="auto"/>
        <w:tblLook w:val="04A0"/>
      </w:tblPr>
      <w:tblGrid>
        <w:gridCol w:w="2787"/>
        <w:gridCol w:w="2787"/>
        <w:gridCol w:w="2788"/>
      </w:tblGrid>
      <w:tr w:rsidR="00E97A4A" w:rsidRPr="00194FC6" w:rsidTr="003A6FA4">
        <w:trPr>
          <w:tblHeader/>
        </w:trPr>
        <w:tc>
          <w:tcPr>
            <w:tcW w:w="2787" w:type="dxa"/>
          </w:tcPr>
          <w:p w:rsidR="00E97A4A" w:rsidRPr="00194FC6" w:rsidRDefault="00E97A4A" w:rsidP="004E6BFA">
            <w:pPr>
              <w:jc w:val="distribute"/>
              <w:rPr>
                <w:rFonts w:ascii="標楷體" w:eastAsia="標楷體" w:hAnsi="標楷體"/>
              </w:rPr>
            </w:pPr>
            <w:r w:rsidRPr="00194FC6">
              <w:rPr>
                <w:rFonts w:ascii="標楷體" w:eastAsia="標楷體" w:hAnsi="標楷體" w:hint="eastAsia"/>
              </w:rPr>
              <w:t>修正條文</w:t>
            </w:r>
          </w:p>
        </w:tc>
        <w:tc>
          <w:tcPr>
            <w:tcW w:w="2787" w:type="dxa"/>
          </w:tcPr>
          <w:p w:rsidR="00E97A4A" w:rsidRPr="00194FC6" w:rsidRDefault="00E97A4A" w:rsidP="004E6BFA">
            <w:pPr>
              <w:jc w:val="distribute"/>
              <w:rPr>
                <w:rFonts w:ascii="標楷體" w:eastAsia="標楷體" w:hAnsi="標楷體"/>
              </w:rPr>
            </w:pPr>
            <w:r w:rsidRPr="00194FC6">
              <w:rPr>
                <w:rFonts w:ascii="標楷體" w:eastAsia="標楷體" w:hAnsi="標楷體" w:hint="eastAsia"/>
              </w:rPr>
              <w:t>現行條文</w:t>
            </w:r>
          </w:p>
        </w:tc>
        <w:tc>
          <w:tcPr>
            <w:tcW w:w="2788" w:type="dxa"/>
          </w:tcPr>
          <w:p w:rsidR="00E97A4A" w:rsidRPr="00194FC6" w:rsidRDefault="00E97A4A" w:rsidP="004E6BFA">
            <w:pPr>
              <w:jc w:val="distribute"/>
              <w:rPr>
                <w:rFonts w:ascii="標楷體" w:eastAsia="標楷體" w:hAnsi="標楷體"/>
              </w:rPr>
            </w:pPr>
            <w:r w:rsidRPr="00194FC6">
              <w:rPr>
                <w:rFonts w:ascii="標楷體" w:eastAsia="標楷體" w:hAnsi="標楷體" w:hint="eastAsia"/>
              </w:rPr>
              <w:t>說明</w:t>
            </w:r>
          </w:p>
        </w:tc>
      </w:tr>
      <w:tr w:rsidR="00667904" w:rsidRPr="00194FC6" w:rsidTr="004510EE">
        <w:trPr>
          <w:trHeight w:val="4268"/>
        </w:trPr>
        <w:tc>
          <w:tcPr>
            <w:tcW w:w="2787" w:type="dxa"/>
          </w:tcPr>
          <w:p w:rsidR="00667904" w:rsidRPr="00194FC6" w:rsidRDefault="00667904" w:rsidP="004510EE">
            <w:pPr>
              <w:pStyle w:val="HTML"/>
              <w:jc w:val="both"/>
              <w:rPr>
                <w:rFonts w:ascii="標楷體" w:eastAsia="標楷體" w:hAnsi="標楷體"/>
                <w:color w:val="auto"/>
              </w:rPr>
            </w:pPr>
            <w:r w:rsidRPr="00194FC6">
              <w:rPr>
                <w:rFonts w:ascii="標楷體" w:eastAsia="標楷體" w:hAnsi="標楷體"/>
                <w:color w:val="auto"/>
              </w:rPr>
              <w:t>一、本要點依據財政部證券管理委員會八十二年十二月十三日「開放信用交易資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相抵交易各項配合措施研討會」會議結論事項、行政院金融監督管理委員會94年9月20日</w:t>
            </w:r>
            <w:proofErr w:type="gramStart"/>
            <w:r w:rsidRPr="00194FC6">
              <w:rPr>
                <w:rFonts w:ascii="標楷體" w:eastAsia="標楷體" w:hAnsi="標楷體"/>
                <w:color w:val="auto"/>
              </w:rPr>
              <w:t>金管證</w:t>
            </w:r>
            <w:proofErr w:type="gramEnd"/>
            <w:r w:rsidRPr="00194FC6">
              <w:rPr>
                <w:rFonts w:ascii="標楷體" w:eastAsia="標楷體" w:hAnsi="標楷體"/>
                <w:color w:val="auto"/>
              </w:rPr>
              <w:t>四字第0940004202號函及94年10月13日</w:t>
            </w:r>
            <w:proofErr w:type="gramStart"/>
            <w:r w:rsidRPr="00194FC6">
              <w:rPr>
                <w:rFonts w:ascii="標楷體" w:eastAsia="標楷體" w:hAnsi="標楷體"/>
                <w:color w:val="auto"/>
              </w:rPr>
              <w:t>金管證</w:t>
            </w:r>
            <w:proofErr w:type="gramEnd"/>
            <w:r w:rsidRPr="00194FC6">
              <w:rPr>
                <w:rFonts w:ascii="標楷體" w:eastAsia="標楷體" w:hAnsi="標楷體"/>
                <w:color w:val="auto"/>
              </w:rPr>
              <w:t>四字</w:t>
            </w:r>
            <w:proofErr w:type="gramStart"/>
            <w:r w:rsidRPr="00194FC6">
              <w:rPr>
                <w:rFonts w:ascii="標楷體" w:eastAsia="標楷體" w:hAnsi="標楷體"/>
                <w:color w:val="auto"/>
              </w:rPr>
              <w:t>第0940144749號函訂定</w:t>
            </w:r>
            <w:proofErr w:type="gramEnd"/>
            <w:r w:rsidRPr="00194FC6">
              <w:rPr>
                <w:rFonts w:ascii="標楷體" w:eastAsia="標楷體" w:hAnsi="標楷體"/>
                <w:color w:val="auto"/>
              </w:rPr>
              <w:t>之。</w:t>
            </w:r>
          </w:p>
        </w:tc>
        <w:tc>
          <w:tcPr>
            <w:tcW w:w="2787" w:type="dxa"/>
          </w:tcPr>
          <w:p w:rsidR="00667904" w:rsidRPr="00194FC6" w:rsidRDefault="00667904" w:rsidP="000C6EF9">
            <w:pPr>
              <w:pStyle w:val="HTML"/>
              <w:jc w:val="both"/>
              <w:rPr>
                <w:rFonts w:ascii="標楷體" w:eastAsia="標楷體" w:hAnsi="標楷體"/>
                <w:color w:val="auto"/>
              </w:rPr>
            </w:pPr>
            <w:r w:rsidRPr="00194FC6">
              <w:rPr>
                <w:rFonts w:ascii="標楷體" w:eastAsia="標楷體" w:hAnsi="標楷體"/>
                <w:color w:val="auto"/>
              </w:rPr>
              <w:t>一、本要點依據財政部證券管理委員會八十二年十二月十三日「開放信用交易資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相抵交易各項配合措施研討會」會議結論事項、行政院金融監督管理委員會94年9月20日</w:t>
            </w:r>
            <w:proofErr w:type="gramStart"/>
            <w:r w:rsidRPr="00194FC6">
              <w:rPr>
                <w:rFonts w:ascii="標楷體" w:eastAsia="標楷體" w:hAnsi="標楷體"/>
                <w:color w:val="auto"/>
              </w:rPr>
              <w:t>金管證</w:t>
            </w:r>
            <w:proofErr w:type="gramEnd"/>
            <w:r w:rsidRPr="00194FC6">
              <w:rPr>
                <w:rFonts w:ascii="標楷體" w:eastAsia="標楷體" w:hAnsi="標楷體"/>
                <w:color w:val="auto"/>
              </w:rPr>
              <w:t>四字第0940004202號函及94年10月13日</w:t>
            </w:r>
            <w:proofErr w:type="gramStart"/>
            <w:r w:rsidRPr="00194FC6">
              <w:rPr>
                <w:rFonts w:ascii="標楷體" w:eastAsia="標楷體" w:hAnsi="標楷體"/>
                <w:color w:val="auto"/>
              </w:rPr>
              <w:t>金管證</w:t>
            </w:r>
            <w:proofErr w:type="gramEnd"/>
            <w:r w:rsidRPr="00194FC6">
              <w:rPr>
                <w:rFonts w:ascii="標楷體" w:eastAsia="標楷體" w:hAnsi="標楷體"/>
                <w:color w:val="auto"/>
              </w:rPr>
              <w:t>四字</w:t>
            </w:r>
            <w:proofErr w:type="gramStart"/>
            <w:r w:rsidRPr="00194FC6">
              <w:rPr>
                <w:rFonts w:ascii="標楷體" w:eastAsia="標楷體" w:hAnsi="標楷體"/>
                <w:color w:val="auto"/>
              </w:rPr>
              <w:t>第0940144749號函訂定</w:t>
            </w:r>
            <w:proofErr w:type="gramEnd"/>
            <w:r w:rsidRPr="00194FC6">
              <w:rPr>
                <w:rFonts w:ascii="標楷體" w:eastAsia="標楷體" w:hAnsi="標楷體"/>
                <w:color w:val="auto"/>
              </w:rPr>
              <w:t>之。</w:t>
            </w:r>
          </w:p>
        </w:tc>
        <w:tc>
          <w:tcPr>
            <w:tcW w:w="2788" w:type="dxa"/>
          </w:tcPr>
          <w:p w:rsidR="00667904" w:rsidRPr="00194FC6" w:rsidRDefault="00C90358" w:rsidP="002671D5">
            <w:pPr>
              <w:ind w:left="480" w:hangingChars="200" w:hanging="480"/>
              <w:jc w:val="both"/>
              <w:rPr>
                <w:rFonts w:ascii="標楷體" w:eastAsia="標楷體" w:hAnsi="標楷體" w:cs="細明體"/>
                <w:kern w:val="0"/>
                <w:szCs w:val="24"/>
              </w:rPr>
            </w:pPr>
            <w:r w:rsidRPr="00194FC6">
              <w:rPr>
                <w:rFonts w:ascii="標楷體" w:eastAsia="標楷體" w:hAnsi="標楷體" w:cs="細明體" w:hint="eastAsia"/>
                <w:kern w:val="0"/>
                <w:szCs w:val="24"/>
              </w:rPr>
              <w:t>本</w:t>
            </w:r>
            <w:r w:rsidR="00E35196" w:rsidRPr="00194FC6">
              <w:rPr>
                <w:rFonts w:ascii="標楷體" w:eastAsia="標楷體" w:hAnsi="標楷體" w:cs="細明體" w:hint="eastAsia"/>
                <w:kern w:val="0"/>
                <w:szCs w:val="24"/>
              </w:rPr>
              <w:t>條</w:t>
            </w:r>
            <w:r w:rsidRPr="00194FC6">
              <w:rPr>
                <w:rFonts w:ascii="標楷體" w:eastAsia="標楷體" w:hAnsi="標楷體" w:cs="細明體" w:hint="eastAsia"/>
                <w:kern w:val="0"/>
                <w:szCs w:val="24"/>
              </w:rPr>
              <w:t>未修正。</w:t>
            </w:r>
          </w:p>
        </w:tc>
      </w:tr>
      <w:tr w:rsidR="00667904" w:rsidRPr="00194FC6" w:rsidTr="00DE6C98">
        <w:trPr>
          <w:trHeight w:val="1512"/>
        </w:trPr>
        <w:tc>
          <w:tcPr>
            <w:tcW w:w="2787" w:type="dxa"/>
          </w:tcPr>
          <w:p w:rsidR="00667904" w:rsidRPr="00194FC6" w:rsidRDefault="00667904" w:rsidP="004510EE">
            <w:pPr>
              <w:pStyle w:val="HTML"/>
              <w:jc w:val="both"/>
              <w:rPr>
                <w:rFonts w:ascii="標楷體" w:eastAsia="標楷體" w:hAnsi="標楷體"/>
                <w:color w:val="auto"/>
              </w:rPr>
            </w:pPr>
            <w:r w:rsidRPr="00194FC6">
              <w:rPr>
                <w:rFonts w:ascii="標楷體" w:eastAsia="標楷體" w:hAnsi="標楷體" w:hint="eastAsia"/>
                <w:color w:val="auto"/>
              </w:rPr>
              <w:t>二、</w:t>
            </w:r>
            <w:r w:rsidRPr="00194FC6">
              <w:rPr>
                <w:rFonts w:ascii="標楷體" w:eastAsia="標楷體" w:hAnsi="標楷體"/>
                <w:color w:val="auto"/>
              </w:rPr>
              <w:t>委託人同日「融資買進」與「融券賣出」同種有價證券，如</w:t>
            </w:r>
            <w:proofErr w:type="gramStart"/>
            <w:r w:rsidRPr="00194FC6">
              <w:rPr>
                <w:rFonts w:ascii="標楷體" w:eastAsia="標楷體" w:hAnsi="標楷體"/>
                <w:color w:val="auto"/>
              </w:rPr>
              <w:t>採</w:t>
            </w:r>
            <w:proofErr w:type="gramEnd"/>
            <w:r w:rsidRPr="00194FC6">
              <w:rPr>
                <w:rFonts w:ascii="標楷體" w:eastAsia="標楷體" w:hAnsi="標楷體"/>
                <w:color w:val="auto"/>
              </w:rPr>
              <w:t>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相抵交割者，應事先與證券商簽訂概括授權之同意書（如附件），於當日融資融券交易後，其數額相同部分即自動沖抵，並由證券商逐筆代為製作融資現金償還申請書及融券現</w:t>
            </w:r>
            <w:proofErr w:type="gramStart"/>
            <w:r w:rsidRPr="00194FC6">
              <w:rPr>
                <w:rFonts w:ascii="標楷體" w:eastAsia="標楷體" w:hAnsi="標楷體"/>
                <w:color w:val="auto"/>
              </w:rPr>
              <w:t>券</w:t>
            </w:r>
            <w:proofErr w:type="gramEnd"/>
            <w:r w:rsidRPr="00194FC6">
              <w:rPr>
                <w:rFonts w:ascii="標楷體" w:eastAsia="標楷體" w:hAnsi="標楷體"/>
                <w:color w:val="auto"/>
              </w:rPr>
              <w:t>償還申請書，委託人不需逐件申請。</w:t>
            </w:r>
          </w:p>
          <w:p w:rsidR="00667904" w:rsidRPr="00194FC6" w:rsidRDefault="00667904" w:rsidP="004510EE">
            <w:pPr>
              <w:pStyle w:val="HTML"/>
              <w:jc w:val="both"/>
              <w:rPr>
                <w:rFonts w:ascii="標楷體" w:eastAsia="標楷體" w:hAnsi="標楷體"/>
                <w:color w:val="auto"/>
              </w:rPr>
            </w:pPr>
            <w:r w:rsidRPr="00194FC6">
              <w:rPr>
                <w:rFonts w:ascii="標楷體" w:eastAsia="標楷體" w:hAnsi="標楷體"/>
                <w:color w:val="auto"/>
              </w:rPr>
              <w:t xml:space="preserve">    已簽訂同意書之委託人如不</w:t>
            </w:r>
            <w:proofErr w:type="gramStart"/>
            <w:r w:rsidRPr="00194FC6">
              <w:rPr>
                <w:rFonts w:ascii="標楷體" w:eastAsia="標楷體" w:hAnsi="標楷體"/>
                <w:color w:val="auto"/>
              </w:rPr>
              <w:t>採</w:t>
            </w:r>
            <w:proofErr w:type="gramEnd"/>
            <w:r w:rsidRPr="00194FC6">
              <w:rPr>
                <w:rFonts w:ascii="標楷體" w:eastAsia="標楷體" w:hAnsi="標楷體"/>
                <w:color w:val="auto"/>
              </w:rPr>
              <w:t>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相抵交割，須於成交當日收盤前向證券商書面聲明。</w:t>
            </w:r>
          </w:p>
          <w:p w:rsidR="00667904" w:rsidRPr="00194FC6" w:rsidRDefault="00667904" w:rsidP="004510EE">
            <w:pPr>
              <w:pStyle w:val="HTML"/>
              <w:jc w:val="both"/>
              <w:rPr>
                <w:rFonts w:ascii="標楷體" w:eastAsia="標楷體" w:hAnsi="標楷體"/>
                <w:color w:val="auto"/>
              </w:rPr>
            </w:pPr>
            <w:r w:rsidRPr="00194FC6">
              <w:rPr>
                <w:rFonts w:ascii="標楷體" w:eastAsia="標楷體" w:hAnsi="標楷體"/>
                <w:color w:val="auto"/>
              </w:rPr>
              <w:t xml:space="preserve">    </w:t>
            </w:r>
            <w:proofErr w:type="gramStart"/>
            <w:r w:rsidRPr="00194FC6">
              <w:rPr>
                <w:rFonts w:ascii="標楷體" w:eastAsia="標楷體" w:hAnsi="標楷體"/>
                <w:color w:val="auto"/>
              </w:rPr>
              <w:t>前開沖抵</w:t>
            </w:r>
            <w:proofErr w:type="gramEnd"/>
            <w:r w:rsidRPr="00194FC6">
              <w:rPr>
                <w:rFonts w:ascii="標楷體" w:eastAsia="標楷體" w:hAnsi="標楷體"/>
                <w:color w:val="auto"/>
              </w:rPr>
              <w:t>部分不計算融資融券利息，但融券賣出沖抵部分仍應依</w:t>
            </w:r>
            <w:proofErr w:type="gramStart"/>
            <w:r w:rsidRPr="00194FC6">
              <w:rPr>
                <w:rFonts w:ascii="標楷體" w:eastAsia="標楷體" w:hAnsi="標楷體"/>
                <w:color w:val="auto"/>
              </w:rPr>
              <w:t>規</w:t>
            </w:r>
            <w:proofErr w:type="gramEnd"/>
            <w:r w:rsidRPr="00194FC6">
              <w:rPr>
                <w:rFonts w:ascii="標楷體" w:eastAsia="標楷體" w:hAnsi="標楷體"/>
                <w:color w:val="auto"/>
              </w:rPr>
              <w:t>計算融券手續費。</w:t>
            </w:r>
          </w:p>
        </w:tc>
        <w:tc>
          <w:tcPr>
            <w:tcW w:w="2787" w:type="dxa"/>
          </w:tcPr>
          <w:p w:rsidR="00667904" w:rsidRPr="00194FC6" w:rsidRDefault="00667904" w:rsidP="000C6EF9">
            <w:pPr>
              <w:pStyle w:val="HTML"/>
              <w:jc w:val="both"/>
              <w:rPr>
                <w:rFonts w:ascii="標楷體" w:eastAsia="標楷體" w:hAnsi="標楷體"/>
                <w:color w:val="auto"/>
              </w:rPr>
            </w:pPr>
            <w:r w:rsidRPr="00194FC6">
              <w:rPr>
                <w:rFonts w:ascii="標楷體" w:eastAsia="標楷體" w:hAnsi="標楷體" w:hint="eastAsia"/>
                <w:color w:val="auto"/>
              </w:rPr>
              <w:t>二、</w:t>
            </w:r>
            <w:r w:rsidRPr="00194FC6">
              <w:rPr>
                <w:rFonts w:ascii="標楷體" w:eastAsia="標楷體" w:hAnsi="標楷體"/>
                <w:color w:val="auto"/>
              </w:rPr>
              <w:t>委託人同日「融資買進」與「融券賣出」同種有價證券，如</w:t>
            </w:r>
            <w:proofErr w:type="gramStart"/>
            <w:r w:rsidRPr="00194FC6">
              <w:rPr>
                <w:rFonts w:ascii="標楷體" w:eastAsia="標楷體" w:hAnsi="標楷體"/>
                <w:color w:val="auto"/>
              </w:rPr>
              <w:t>採</w:t>
            </w:r>
            <w:proofErr w:type="gramEnd"/>
            <w:r w:rsidRPr="00194FC6">
              <w:rPr>
                <w:rFonts w:ascii="標楷體" w:eastAsia="標楷體" w:hAnsi="標楷體"/>
                <w:color w:val="auto"/>
              </w:rPr>
              <w:t>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相抵交割者，應事先與證券商簽訂概括授權之同意書（如附件），於當日融資融券交易後，其數額相同部分即自動沖抵，並由證券商逐筆代為製作融資現金償還申請書及融券現</w:t>
            </w:r>
            <w:proofErr w:type="gramStart"/>
            <w:r w:rsidRPr="00194FC6">
              <w:rPr>
                <w:rFonts w:ascii="標楷體" w:eastAsia="標楷體" w:hAnsi="標楷體"/>
                <w:color w:val="auto"/>
              </w:rPr>
              <w:t>券</w:t>
            </w:r>
            <w:proofErr w:type="gramEnd"/>
            <w:r w:rsidRPr="00194FC6">
              <w:rPr>
                <w:rFonts w:ascii="標楷體" w:eastAsia="標楷體" w:hAnsi="標楷體"/>
                <w:color w:val="auto"/>
              </w:rPr>
              <w:t>償還申請書，委託人不需逐件申請。</w:t>
            </w:r>
          </w:p>
          <w:p w:rsidR="00667904" w:rsidRPr="00194FC6" w:rsidRDefault="00667904" w:rsidP="000C6EF9">
            <w:pPr>
              <w:pStyle w:val="HTML"/>
              <w:jc w:val="both"/>
              <w:rPr>
                <w:rFonts w:ascii="標楷體" w:eastAsia="標楷體" w:hAnsi="標楷體"/>
                <w:color w:val="auto"/>
              </w:rPr>
            </w:pPr>
            <w:r w:rsidRPr="00194FC6">
              <w:rPr>
                <w:rFonts w:ascii="標楷體" w:eastAsia="標楷體" w:hAnsi="標楷體"/>
                <w:color w:val="auto"/>
              </w:rPr>
              <w:t xml:space="preserve">    已簽訂同意書之委託人如不</w:t>
            </w:r>
            <w:proofErr w:type="gramStart"/>
            <w:r w:rsidRPr="00194FC6">
              <w:rPr>
                <w:rFonts w:ascii="標楷體" w:eastAsia="標楷體" w:hAnsi="標楷體"/>
                <w:color w:val="auto"/>
              </w:rPr>
              <w:t>採</w:t>
            </w:r>
            <w:proofErr w:type="gramEnd"/>
            <w:r w:rsidRPr="00194FC6">
              <w:rPr>
                <w:rFonts w:ascii="標楷體" w:eastAsia="標楷體" w:hAnsi="標楷體"/>
                <w:color w:val="auto"/>
              </w:rPr>
              <w:t>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相抵交割，須於成交當日收盤前向證券商書面聲明。</w:t>
            </w:r>
          </w:p>
          <w:p w:rsidR="00667904" w:rsidRPr="00194FC6" w:rsidRDefault="00667904" w:rsidP="000C6EF9">
            <w:pPr>
              <w:pStyle w:val="HTML"/>
              <w:jc w:val="both"/>
              <w:rPr>
                <w:rFonts w:ascii="標楷體" w:eastAsia="標楷體" w:hAnsi="標楷體"/>
                <w:color w:val="auto"/>
              </w:rPr>
            </w:pPr>
            <w:r w:rsidRPr="00194FC6">
              <w:rPr>
                <w:rFonts w:ascii="標楷體" w:eastAsia="標楷體" w:hAnsi="標楷體"/>
                <w:color w:val="auto"/>
              </w:rPr>
              <w:t xml:space="preserve">    </w:t>
            </w:r>
            <w:proofErr w:type="gramStart"/>
            <w:r w:rsidRPr="00194FC6">
              <w:rPr>
                <w:rFonts w:ascii="標楷體" w:eastAsia="標楷體" w:hAnsi="標楷體"/>
                <w:color w:val="auto"/>
              </w:rPr>
              <w:t>前開沖抵</w:t>
            </w:r>
            <w:proofErr w:type="gramEnd"/>
            <w:r w:rsidRPr="00194FC6">
              <w:rPr>
                <w:rFonts w:ascii="標楷體" w:eastAsia="標楷體" w:hAnsi="標楷體"/>
                <w:color w:val="auto"/>
              </w:rPr>
              <w:t>部分不計算融資融券利息，但融券賣出沖抵部分仍應依</w:t>
            </w:r>
            <w:proofErr w:type="gramStart"/>
            <w:r w:rsidRPr="00194FC6">
              <w:rPr>
                <w:rFonts w:ascii="標楷體" w:eastAsia="標楷體" w:hAnsi="標楷體"/>
                <w:color w:val="auto"/>
              </w:rPr>
              <w:t>規</w:t>
            </w:r>
            <w:proofErr w:type="gramEnd"/>
            <w:r w:rsidRPr="00194FC6">
              <w:rPr>
                <w:rFonts w:ascii="標楷體" w:eastAsia="標楷體" w:hAnsi="標楷體"/>
                <w:color w:val="auto"/>
              </w:rPr>
              <w:t>計算融券手續費。</w:t>
            </w:r>
          </w:p>
        </w:tc>
        <w:tc>
          <w:tcPr>
            <w:tcW w:w="2788" w:type="dxa"/>
          </w:tcPr>
          <w:p w:rsidR="00667904" w:rsidRPr="00194FC6" w:rsidRDefault="00C90358" w:rsidP="002671D5">
            <w:pPr>
              <w:ind w:left="480" w:hangingChars="200" w:hanging="480"/>
              <w:jc w:val="both"/>
              <w:rPr>
                <w:rFonts w:ascii="標楷體" w:eastAsia="標楷體" w:hAnsi="標楷體" w:cs="細明體"/>
                <w:kern w:val="0"/>
                <w:szCs w:val="24"/>
              </w:rPr>
            </w:pPr>
            <w:r w:rsidRPr="00194FC6">
              <w:rPr>
                <w:rFonts w:ascii="標楷體" w:eastAsia="標楷體" w:hAnsi="標楷體" w:cs="細明體" w:hint="eastAsia"/>
                <w:kern w:val="0"/>
                <w:szCs w:val="24"/>
              </w:rPr>
              <w:t>本</w:t>
            </w:r>
            <w:r w:rsidR="00E35196" w:rsidRPr="00194FC6">
              <w:rPr>
                <w:rFonts w:ascii="標楷體" w:eastAsia="標楷體" w:hAnsi="標楷體" w:cs="細明體" w:hint="eastAsia"/>
                <w:kern w:val="0"/>
                <w:szCs w:val="24"/>
              </w:rPr>
              <w:t>條</w:t>
            </w:r>
            <w:r w:rsidRPr="00194FC6">
              <w:rPr>
                <w:rFonts w:ascii="標楷體" w:eastAsia="標楷體" w:hAnsi="標楷體" w:cs="細明體" w:hint="eastAsia"/>
                <w:kern w:val="0"/>
                <w:szCs w:val="24"/>
              </w:rPr>
              <w:t>未修正。</w:t>
            </w:r>
          </w:p>
        </w:tc>
      </w:tr>
      <w:tr w:rsidR="00097C51" w:rsidRPr="00194FC6" w:rsidTr="004A0443">
        <w:trPr>
          <w:trHeight w:val="5142"/>
        </w:trPr>
        <w:tc>
          <w:tcPr>
            <w:tcW w:w="2787" w:type="dxa"/>
          </w:tcPr>
          <w:p w:rsidR="00097C51" w:rsidRPr="00194FC6" w:rsidRDefault="00AE0539" w:rsidP="001975A4">
            <w:pPr>
              <w:pStyle w:val="HTML"/>
              <w:jc w:val="both"/>
              <w:rPr>
                <w:rFonts w:ascii="標楷體" w:eastAsia="標楷體" w:hAnsi="標楷體"/>
                <w:color w:val="auto"/>
              </w:rPr>
            </w:pPr>
            <w:r w:rsidRPr="00194FC6">
              <w:rPr>
                <w:rFonts w:eastAsia="標楷體" w:hint="eastAsia"/>
                <w:color w:val="auto"/>
              </w:rPr>
              <w:lastRenderedPageBreak/>
              <w:t>（刪除）</w:t>
            </w:r>
          </w:p>
        </w:tc>
        <w:tc>
          <w:tcPr>
            <w:tcW w:w="2787" w:type="dxa"/>
          </w:tcPr>
          <w:p w:rsidR="00097C51" w:rsidRPr="00194FC6" w:rsidRDefault="00097C51" w:rsidP="00030F02">
            <w:pPr>
              <w:pStyle w:val="HTML"/>
              <w:ind w:left="48" w:hangingChars="20" w:hanging="48"/>
              <w:jc w:val="both"/>
              <w:rPr>
                <w:rFonts w:ascii="標楷體" w:eastAsia="標楷體" w:hAnsi="標楷體"/>
                <w:color w:val="auto"/>
              </w:rPr>
            </w:pPr>
            <w:r w:rsidRPr="00194FC6">
              <w:rPr>
                <w:rFonts w:ascii="標楷體" w:eastAsia="標楷體" w:hAnsi="標楷體"/>
                <w:color w:val="auto"/>
              </w:rPr>
              <w:t>三、委託人資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相抵交割之交易，應分別列入融資或融券限額計算。但當日資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相抵金額於融資限額半數內，得不列入上開融資或融券限額計算，惟仍須列入單一證券融資融券限額計算。</w:t>
            </w:r>
          </w:p>
        </w:tc>
        <w:tc>
          <w:tcPr>
            <w:tcW w:w="2788" w:type="dxa"/>
          </w:tcPr>
          <w:p w:rsidR="00AE0539" w:rsidRPr="00194FC6" w:rsidRDefault="00AE0539" w:rsidP="00AE0539">
            <w:pPr>
              <w:pStyle w:val="a4"/>
              <w:numPr>
                <w:ilvl w:val="0"/>
                <w:numId w:val="4"/>
              </w:numPr>
              <w:kinsoku w:val="0"/>
              <w:overflowPunct w:val="0"/>
              <w:autoSpaceDE w:val="0"/>
              <w:ind w:leftChars="0" w:rightChars="50" w:right="120"/>
              <w:jc w:val="both"/>
              <w:textAlignment w:val="center"/>
              <w:rPr>
                <w:rFonts w:eastAsia="標楷體"/>
              </w:rPr>
            </w:pPr>
            <w:r w:rsidRPr="00194FC6">
              <w:rPr>
                <w:rFonts w:eastAsia="標楷體" w:hint="eastAsia"/>
                <w:u w:val="single"/>
              </w:rPr>
              <w:t>本</w:t>
            </w:r>
            <w:r w:rsidR="00E35196" w:rsidRPr="00194FC6">
              <w:rPr>
                <w:rFonts w:ascii="標楷體" w:eastAsia="標楷體" w:hAnsi="標楷體" w:cs="細明體" w:hint="eastAsia"/>
                <w:kern w:val="0"/>
                <w:szCs w:val="24"/>
                <w:u w:val="single"/>
              </w:rPr>
              <w:t>條</w:t>
            </w:r>
            <w:r w:rsidRPr="00194FC6">
              <w:rPr>
                <w:rFonts w:eastAsia="標楷體" w:hint="eastAsia"/>
                <w:u w:val="single"/>
              </w:rPr>
              <w:t>刪除</w:t>
            </w:r>
            <w:r w:rsidRPr="00194FC6">
              <w:rPr>
                <w:rFonts w:eastAsia="標楷體" w:hint="eastAsia"/>
              </w:rPr>
              <w:t>。</w:t>
            </w:r>
          </w:p>
          <w:p w:rsidR="00097C51" w:rsidRPr="00194FC6" w:rsidRDefault="00AE0539" w:rsidP="00B16652">
            <w:pPr>
              <w:ind w:left="480" w:hangingChars="200" w:hanging="480"/>
              <w:jc w:val="both"/>
              <w:rPr>
                <w:rFonts w:ascii="標楷體" w:eastAsia="標楷體" w:hAnsi="標楷體" w:cs="細明體"/>
                <w:kern w:val="0"/>
                <w:szCs w:val="24"/>
              </w:rPr>
            </w:pPr>
            <w:r w:rsidRPr="00194FC6">
              <w:rPr>
                <w:rFonts w:ascii="標楷體" w:eastAsia="標楷體" w:hAnsi="標楷體" w:cs="細明體" w:hint="eastAsia"/>
                <w:kern w:val="0"/>
                <w:szCs w:val="24"/>
              </w:rPr>
              <w:t>二、</w:t>
            </w:r>
            <w:r w:rsidR="00B16652">
              <w:rPr>
                <w:rFonts w:ascii="標楷體" w:eastAsia="標楷體" w:hAnsi="標楷體" w:cs="細明體" w:hint="eastAsia"/>
                <w:kern w:val="0"/>
                <w:szCs w:val="24"/>
              </w:rPr>
              <w:t>投資人</w:t>
            </w:r>
            <w:r w:rsidR="00097C51" w:rsidRPr="00194FC6">
              <w:rPr>
                <w:rFonts w:ascii="標楷體" w:eastAsia="標楷體" w:hAnsi="標楷體" w:cs="細明體" w:hint="eastAsia"/>
                <w:kern w:val="0"/>
                <w:szCs w:val="24"/>
              </w:rPr>
              <w:t>資</w:t>
            </w:r>
            <w:proofErr w:type="gramStart"/>
            <w:r w:rsidR="00097C51" w:rsidRPr="00194FC6">
              <w:rPr>
                <w:rFonts w:ascii="標楷體" w:eastAsia="標楷體" w:hAnsi="標楷體" w:cs="細明體" w:hint="eastAsia"/>
                <w:kern w:val="0"/>
                <w:szCs w:val="24"/>
              </w:rPr>
              <w:t>券</w:t>
            </w:r>
            <w:proofErr w:type="gramEnd"/>
            <w:r w:rsidR="00097C51" w:rsidRPr="00194FC6">
              <w:rPr>
                <w:rFonts w:ascii="標楷體" w:eastAsia="標楷體" w:hAnsi="標楷體" w:cs="細明體" w:hint="eastAsia"/>
                <w:kern w:val="0"/>
                <w:szCs w:val="24"/>
              </w:rPr>
              <w:t>相抵交易</w:t>
            </w:r>
            <w:r w:rsidR="00B16652">
              <w:rPr>
                <w:rFonts w:ascii="標楷體" w:eastAsia="標楷體" w:hAnsi="標楷體" w:cs="細明體" w:hint="eastAsia"/>
                <w:kern w:val="0"/>
                <w:szCs w:val="24"/>
              </w:rPr>
              <w:t>後</w:t>
            </w:r>
            <w:r w:rsidR="00097C51" w:rsidRPr="00194FC6">
              <w:rPr>
                <w:rFonts w:ascii="標楷體" w:eastAsia="標楷體" w:hAnsi="標楷體" w:cs="細明體" w:hint="eastAsia"/>
                <w:kern w:val="0"/>
                <w:szCs w:val="24"/>
              </w:rPr>
              <w:t>，僅就買賣沖銷之價差進行交割，</w:t>
            </w:r>
            <w:r w:rsidR="00B16652">
              <w:rPr>
                <w:rFonts w:ascii="標楷體" w:eastAsia="標楷體" w:hAnsi="標楷體" w:cs="細明體" w:hint="eastAsia"/>
                <w:kern w:val="0"/>
                <w:szCs w:val="24"/>
              </w:rPr>
              <w:t>且</w:t>
            </w:r>
            <w:r w:rsidR="00097C51" w:rsidRPr="00194FC6">
              <w:rPr>
                <w:rFonts w:ascii="標楷體" w:eastAsia="標楷體" w:hAnsi="標楷體" w:cs="細明體" w:hint="eastAsia"/>
                <w:kern w:val="0"/>
                <w:szCs w:val="24"/>
              </w:rPr>
              <w:t>損益在沖銷後已確定，</w:t>
            </w:r>
            <w:r w:rsidR="00B16652">
              <w:rPr>
                <w:rFonts w:ascii="標楷體" w:eastAsia="標楷體" w:hAnsi="標楷體" w:cs="細明體" w:hint="eastAsia"/>
                <w:kern w:val="0"/>
                <w:szCs w:val="24"/>
              </w:rPr>
              <w:t>其風險未若新增留倉</w:t>
            </w:r>
            <w:r w:rsidR="00204E32">
              <w:rPr>
                <w:rFonts w:ascii="標楷體" w:eastAsia="標楷體" w:hAnsi="標楷體" w:cs="細明體" w:hint="eastAsia"/>
                <w:kern w:val="0"/>
                <w:szCs w:val="24"/>
              </w:rPr>
              <w:t>之</w:t>
            </w:r>
            <w:r w:rsidR="00B16652">
              <w:rPr>
                <w:rFonts w:ascii="標楷體" w:eastAsia="標楷體" w:hAnsi="標楷體" w:cs="細明體" w:hint="eastAsia"/>
                <w:kern w:val="0"/>
                <w:szCs w:val="24"/>
              </w:rPr>
              <w:t>融資買進或融券賣出部位者，</w:t>
            </w:r>
            <w:proofErr w:type="gramStart"/>
            <w:r w:rsidR="00097C51" w:rsidRPr="00194FC6">
              <w:rPr>
                <w:rFonts w:ascii="標楷體" w:eastAsia="標楷體" w:hAnsi="標楷體" w:cs="細明體" w:hint="eastAsia"/>
                <w:kern w:val="0"/>
                <w:szCs w:val="24"/>
              </w:rPr>
              <w:t>爰</w:t>
            </w:r>
            <w:proofErr w:type="gramEnd"/>
            <w:r w:rsidR="00097C51" w:rsidRPr="00194FC6">
              <w:rPr>
                <w:rFonts w:ascii="標楷體" w:eastAsia="標楷體" w:hAnsi="標楷體" w:cs="細明體" w:hint="eastAsia"/>
                <w:kern w:val="0"/>
                <w:szCs w:val="24"/>
              </w:rPr>
              <w:t>修正本</w:t>
            </w:r>
            <w:r w:rsidR="00F5447C" w:rsidRPr="00194FC6">
              <w:rPr>
                <w:rFonts w:ascii="標楷體" w:eastAsia="標楷體" w:hAnsi="標楷體" w:cs="細明體" w:hint="eastAsia"/>
                <w:kern w:val="0"/>
                <w:szCs w:val="24"/>
              </w:rPr>
              <w:t>條文，</w:t>
            </w:r>
            <w:r w:rsidR="00097C51" w:rsidRPr="00194FC6">
              <w:rPr>
                <w:rFonts w:ascii="標楷體" w:eastAsia="標楷體" w:hAnsi="標楷體" w:cs="細明體" w:hint="eastAsia"/>
                <w:kern w:val="0"/>
                <w:szCs w:val="24"/>
              </w:rPr>
              <w:t>開放投資人</w:t>
            </w:r>
            <w:r w:rsidR="00097C51" w:rsidRPr="00194FC6">
              <w:rPr>
                <w:rFonts w:ascii="標楷體" w:eastAsia="標楷體" w:hAnsi="標楷體"/>
              </w:rPr>
              <w:t>資</w:t>
            </w:r>
            <w:proofErr w:type="gramStart"/>
            <w:r w:rsidR="00097C51" w:rsidRPr="00194FC6">
              <w:rPr>
                <w:rFonts w:ascii="標楷體" w:eastAsia="標楷體" w:hAnsi="標楷體"/>
              </w:rPr>
              <w:t>券</w:t>
            </w:r>
            <w:proofErr w:type="gramEnd"/>
            <w:r w:rsidR="00097C51" w:rsidRPr="00194FC6">
              <w:rPr>
                <w:rFonts w:ascii="標楷體" w:eastAsia="標楷體" w:hAnsi="標楷體"/>
              </w:rPr>
              <w:t>相抵</w:t>
            </w:r>
            <w:r w:rsidR="00097C51" w:rsidRPr="00194FC6">
              <w:rPr>
                <w:rFonts w:ascii="標楷體" w:eastAsia="標楷體" w:hAnsi="標楷體" w:hint="eastAsia"/>
              </w:rPr>
              <w:t>交易</w:t>
            </w:r>
            <w:r w:rsidR="00097C51" w:rsidRPr="00194FC6">
              <w:rPr>
                <w:rFonts w:ascii="標楷體" w:eastAsia="標楷體" w:hAnsi="標楷體" w:cs="細明體" w:hint="eastAsia"/>
                <w:kern w:val="0"/>
                <w:szCs w:val="24"/>
              </w:rPr>
              <w:t>不納入單戶及單一證券融資融券限額計算。</w:t>
            </w:r>
          </w:p>
        </w:tc>
      </w:tr>
      <w:tr w:rsidR="00CD6BA9" w:rsidRPr="00194FC6" w:rsidTr="00CD6BA9">
        <w:trPr>
          <w:trHeight w:val="504"/>
        </w:trPr>
        <w:tc>
          <w:tcPr>
            <w:tcW w:w="2787" w:type="dxa"/>
          </w:tcPr>
          <w:p w:rsidR="00CD6BA9" w:rsidRPr="00194FC6" w:rsidRDefault="00CD6BA9" w:rsidP="000C6EF9">
            <w:pPr>
              <w:pStyle w:val="HTML"/>
              <w:jc w:val="both"/>
              <w:rPr>
                <w:rFonts w:ascii="標楷體" w:eastAsia="標楷體" w:hAnsi="標楷體"/>
                <w:color w:val="auto"/>
              </w:rPr>
            </w:pPr>
            <w:r w:rsidRPr="00194FC6">
              <w:rPr>
                <w:rFonts w:ascii="標楷體" w:eastAsia="標楷體" w:hAnsi="標楷體" w:hint="eastAsia"/>
                <w:color w:val="auto"/>
              </w:rPr>
              <w:t>三、</w:t>
            </w:r>
            <w:r w:rsidRPr="00194FC6">
              <w:rPr>
                <w:rFonts w:ascii="標楷體" w:eastAsia="標楷體" w:hAnsi="標楷體"/>
                <w:color w:val="auto"/>
              </w:rPr>
              <w:t>委託人資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相抵交割之交易，應列入單日買賣額度計算，</w:t>
            </w:r>
            <w:r w:rsidRPr="00194FC6">
              <w:rPr>
                <w:rFonts w:ascii="標楷體" w:eastAsia="標楷體" w:hAnsi="標楷體" w:hint="eastAsia"/>
                <w:color w:val="auto"/>
              </w:rPr>
              <w:t>但</w:t>
            </w:r>
            <w:r w:rsidRPr="00194FC6">
              <w:rPr>
                <w:rFonts w:ascii="標楷體" w:eastAsia="標楷體" w:hAnsi="標楷體"/>
                <w:color w:val="auto"/>
              </w:rPr>
              <w:t>融資買</w:t>
            </w:r>
            <w:r w:rsidR="00EB3A62">
              <w:rPr>
                <w:rFonts w:ascii="標楷體" w:eastAsia="標楷體" w:hAnsi="標楷體" w:hint="eastAsia"/>
                <w:color w:val="auto"/>
              </w:rPr>
              <w:t>進</w:t>
            </w:r>
            <w:r w:rsidRPr="00194FC6">
              <w:rPr>
                <w:rFonts w:ascii="標楷體" w:eastAsia="標楷體" w:hAnsi="標楷體"/>
                <w:color w:val="auto"/>
              </w:rPr>
              <w:t>或融券賣出之反向委託金額</w:t>
            </w:r>
            <w:r w:rsidRPr="00194FC6">
              <w:rPr>
                <w:rFonts w:ascii="標楷體" w:eastAsia="標楷體" w:hAnsi="標楷體" w:hint="eastAsia"/>
                <w:color w:val="auto"/>
              </w:rPr>
              <w:t>不列入</w:t>
            </w:r>
            <w:r w:rsidR="008B09A6">
              <w:rPr>
                <w:rFonts w:ascii="標楷體" w:eastAsia="標楷體" w:hAnsi="標楷體" w:hint="eastAsia"/>
                <w:color w:val="auto"/>
              </w:rPr>
              <w:t>計算</w:t>
            </w:r>
            <w:r w:rsidRPr="00194FC6">
              <w:rPr>
                <w:rFonts w:ascii="標楷體" w:eastAsia="標楷體" w:hAnsi="標楷體" w:hint="eastAsia"/>
                <w:color w:val="auto"/>
              </w:rPr>
              <w:t>，</w:t>
            </w:r>
            <w:r w:rsidRPr="00194FC6">
              <w:rPr>
                <w:rFonts w:ascii="標楷體" w:eastAsia="標楷體" w:hAnsi="標楷體"/>
                <w:color w:val="auto"/>
              </w:rPr>
              <w:t>其額度沖抵後不得於當日循環使用之。</w:t>
            </w:r>
          </w:p>
          <w:p w:rsidR="00CD6BA9" w:rsidRPr="00194FC6" w:rsidRDefault="00CD6BA9" w:rsidP="000C6EF9">
            <w:pPr>
              <w:pStyle w:val="HTML"/>
              <w:ind w:firstLineChars="200" w:firstLine="480"/>
              <w:jc w:val="both"/>
              <w:rPr>
                <w:rFonts w:ascii="標楷體" w:eastAsia="標楷體" w:hAnsi="標楷體"/>
                <w:color w:val="auto"/>
              </w:rPr>
            </w:pPr>
            <w:r w:rsidRPr="00194FC6">
              <w:rPr>
                <w:rFonts w:ascii="標楷體" w:eastAsia="標楷體" w:hAnsi="標楷體"/>
                <w:color w:val="auto"/>
              </w:rPr>
              <w:t>證券商依規定對委託人未訂定單日買賣額度而從事</w:t>
            </w:r>
            <w:r w:rsidRPr="00194FC6">
              <w:rPr>
                <w:rFonts w:ascii="標楷體" w:eastAsia="標楷體" w:hAnsi="標楷體" w:hint="eastAsia"/>
                <w:color w:val="auto"/>
              </w:rPr>
              <w:t>資</w:t>
            </w:r>
            <w:proofErr w:type="gramStart"/>
            <w:r w:rsidRPr="00194FC6">
              <w:rPr>
                <w:rFonts w:ascii="標楷體" w:eastAsia="標楷體" w:hAnsi="標楷體" w:hint="eastAsia"/>
                <w:color w:val="auto"/>
              </w:rPr>
              <w:t>券</w:t>
            </w:r>
            <w:proofErr w:type="gramEnd"/>
            <w:r w:rsidRPr="00194FC6">
              <w:rPr>
                <w:rFonts w:ascii="標楷體" w:eastAsia="標楷體" w:hAnsi="標楷體" w:hint="eastAsia"/>
                <w:color w:val="auto"/>
              </w:rPr>
              <w:t>相抵交割</w:t>
            </w:r>
            <w:r w:rsidRPr="00194FC6">
              <w:rPr>
                <w:rFonts w:ascii="標楷體" w:eastAsia="標楷體" w:hAnsi="標楷體"/>
                <w:color w:val="auto"/>
              </w:rPr>
              <w:t>交易者，應另</w:t>
            </w:r>
            <w:r w:rsidR="008059F8">
              <w:rPr>
                <w:rFonts w:ascii="標楷體" w:eastAsia="標楷體" w:hAnsi="標楷體" w:hint="eastAsia"/>
                <w:color w:val="auto"/>
              </w:rPr>
              <w:t>定</w:t>
            </w:r>
            <w:r w:rsidRPr="00194FC6">
              <w:rPr>
                <w:rFonts w:ascii="標楷體" w:eastAsia="標楷體" w:hAnsi="標楷體" w:hint="eastAsia"/>
                <w:color w:val="auto"/>
              </w:rPr>
              <w:t>資</w:t>
            </w:r>
            <w:proofErr w:type="gramStart"/>
            <w:r w:rsidRPr="00194FC6">
              <w:rPr>
                <w:rFonts w:ascii="標楷體" w:eastAsia="標楷體" w:hAnsi="標楷體" w:hint="eastAsia"/>
                <w:color w:val="auto"/>
              </w:rPr>
              <w:t>券</w:t>
            </w:r>
            <w:proofErr w:type="gramEnd"/>
            <w:r w:rsidRPr="00194FC6">
              <w:rPr>
                <w:rFonts w:ascii="標楷體" w:eastAsia="標楷體" w:hAnsi="標楷體" w:hint="eastAsia"/>
                <w:color w:val="auto"/>
              </w:rPr>
              <w:t>相抵交易</w:t>
            </w:r>
            <w:r w:rsidRPr="00194FC6">
              <w:rPr>
                <w:rFonts w:ascii="標楷體" w:eastAsia="標楷體" w:hAnsi="標楷體"/>
                <w:color w:val="auto"/>
              </w:rPr>
              <w:t>額度</w:t>
            </w:r>
            <w:r w:rsidRPr="00194FC6">
              <w:rPr>
                <w:rFonts w:ascii="標楷體" w:eastAsia="標楷體" w:hAnsi="標楷體" w:hint="eastAsia"/>
                <w:color w:val="auto"/>
              </w:rPr>
              <w:t>，並依下列規定辦理：</w:t>
            </w:r>
          </w:p>
          <w:p w:rsidR="00CD6BA9" w:rsidRPr="00194FC6" w:rsidRDefault="00CD6BA9" w:rsidP="000C6EF9">
            <w:pPr>
              <w:pStyle w:val="HTML"/>
              <w:ind w:left="600" w:hangingChars="250" w:hanging="600"/>
              <w:jc w:val="both"/>
              <w:rPr>
                <w:rFonts w:ascii="標楷體" w:eastAsia="標楷體" w:hAnsi="標楷體"/>
                <w:color w:val="auto"/>
              </w:rPr>
            </w:pPr>
            <w:r w:rsidRPr="00194FC6">
              <w:rPr>
                <w:rFonts w:ascii="標楷體" w:eastAsia="標楷體" w:hAnsi="標楷體" w:hint="eastAsia"/>
                <w:color w:val="auto"/>
              </w:rPr>
              <w:t>（一）</w:t>
            </w:r>
            <w:r w:rsidRPr="00194FC6">
              <w:rPr>
                <w:rFonts w:ascii="標楷體" w:eastAsia="標楷體" w:hAnsi="標楷體"/>
                <w:color w:val="auto"/>
              </w:rPr>
              <w:t>融資買</w:t>
            </w:r>
            <w:r w:rsidR="00EB3A62">
              <w:rPr>
                <w:rFonts w:ascii="標楷體" w:eastAsia="標楷體" w:hAnsi="標楷體" w:hint="eastAsia"/>
                <w:color w:val="auto"/>
              </w:rPr>
              <w:t>進</w:t>
            </w:r>
            <w:r w:rsidRPr="00194FC6">
              <w:rPr>
                <w:rFonts w:ascii="標楷體" w:eastAsia="標楷體" w:hAnsi="標楷體"/>
                <w:color w:val="auto"/>
              </w:rPr>
              <w:t>或融券賣出</w:t>
            </w:r>
            <w:r w:rsidRPr="00194FC6">
              <w:rPr>
                <w:rFonts w:ascii="標楷體" w:eastAsia="標楷體" w:hAnsi="標楷體" w:hint="eastAsia"/>
                <w:color w:val="auto"/>
              </w:rPr>
              <w:t>之</w:t>
            </w:r>
            <w:r w:rsidRPr="00194FC6">
              <w:rPr>
                <w:rFonts w:ascii="標楷體" w:eastAsia="標楷體" w:hAnsi="標楷體"/>
                <w:color w:val="auto"/>
              </w:rPr>
              <w:t>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w:t>
            </w:r>
            <w:r w:rsidRPr="00194FC6">
              <w:rPr>
                <w:rFonts w:ascii="標楷體" w:eastAsia="標楷體" w:hAnsi="標楷體" w:hint="eastAsia"/>
                <w:color w:val="auto"/>
              </w:rPr>
              <w:t>交割</w:t>
            </w:r>
            <w:r w:rsidRPr="00194FC6">
              <w:rPr>
                <w:rFonts w:ascii="標楷體" w:eastAsia="標楷體" w:hAnsi="標楷體"/>
                <w:color w:val="auto"/>
              </w:rPr>
              <w:t>交易</w:t>
            </w:r>
            <w:r w:rsidRPr="00194FC6">
              <w:rPr>
                <w:rFonts w:ascii="標楷體" w:eastAsia="標楷體" w:hAnsi="標楷體" w:hint="eastAsia"/>
                <w:color w:val="auto"/>
              </w:rPr>
              <w:t>之</w:t>
            </w:r>
            <w:r w:rsidRPr="00194FC6">
              <w:rPr>
                <w:rFonts w:ascii="標楷體" w:eastAsia="標楷體" w:hAnsi="標楷體"/>
                <w:color w:val="auto"/>
              </w:rPr>
              <w:t>反向委託金額，不得逾越</w:t>
            </w:r>
            <w:r w:rsidRPr="00194FC6">
              <w:rPr>
                <w:rFonts w:ascii="標楷體" w:eastAsia="標楷體" w:hAnsi="標楷體" w:hint="eastAsia"/>
                <w:color w:val="auto"/>
              </w:rPr>
              <w:t>資</w:t>
            </w:r>
            <w:proofErr w:type="gramStart"/>
            <w:r w:rsidRPr="00194FC6">
              <w:rPr>
                <w:rFonts w:ascii="標楷體" w:eastAsia="標楷體" w:hAnsi="標楷體" w:hint="eastAsia"/>
                <w:color w:val="auto"/>
              </w:rPr>
              <w:t>券</w:t>
            </w:r>
            <w:proofErr w:type="gramEnd"/>
            <w:r w:rsidRPr="00194FC6">
              <w:rPr>
                <w:rFonts w:ascii="標楷體" w:eastAsia="標楷體" w:hAnsi="標楷體" w:hint="eastAsia"/>
                <w:color w:val="auto"/>
              </w:rPr>
              <w:t>相抵交易</w:t>
            </w:r>
            <w:r w:rsidRPr="00194FC6">
              <w:rPr>
                <w:rFonts w:ascii="標楷體" w:eastAsia="標楷體" w:hAnsi="標楷體"/>
                <w:color w:val="auto"/>
              </w:rPr>
              <w:t>額度</w:t>
            </w:r>
            <w:r w:rsidRPr="00194FC6">
              <w:rPr>
                <w:rFonts w:ascii="標楷體" w:eastAsia="標楷體" w:hAnsi="標楷體" w:hint="eastAsia"/>
                <w:color w:val="auto"/>
              </w:rPr>
              <w:t>；新增部位之融資買</w:t>
            </w:r>
            <w:r w:rsidR="00EB3A62">
              <w:rPr>
                <w:rFonts w:ascii="標楷體" w:eastAsia="標楷體" w:hAnsi="標楷體" w:hint="eastAsia"/>
                <w:color w:val="auto"/>
              </w:rPr>
              <w:t>進</w:t>
            </w:r>
            <w:r w:rsidRPr="00194FC6">
              <w:rPr>
                <w:rFonts w:ascii="標楷體" w:eastAsia="標楷體" w:hAnsi="標楷體" w:hint="eastAsia"/>
                <w:color w:val="auto"/>
              </w:rPr>
              <w:t>或融券賣出</w:t>
            </w:r>
            <w:r w:rsidRPr="00194FC6">
              <w:rPr>
                <w:rFonts w:ascii="標楷體" w:eastAsia="標楷體" w:hAnsi="標楷體"/>
                <w:color w:val="auto"/>
              </w:rPr>
              <w:t>及取消委託金額，不列入資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相抵交易額度</w:t>
            </w:r>
            <w:r w:rsidRPr="00194FC6">
              <w:rPr>
                <w:rFonts w:ascii="標楷體" w:eastAsia="標楷體" w:hAnsi="標楷體" w:hint="eastAsia"/>
                <w:color w:val="auto"/>
              </w:rPr>
              <w:t>計算，</w:t>
            </w:r>
            <w:r w:rsidRPr="00194FC6">
              <w:rPr>
                <w:rFonts w:ascii="標楷體" w:eastAsia="標楷體" w:hAnsi="標楷體"/>
                <w:color w:val="auto"/>
              </w:rPr>
              <w:t>且其額度沖</w:t>
            </w:r>
            <w:r w:rsidRPr="00194FC6">
              <w:rPr>
                <w:rFonts w:ascii="標楷體" w:eastAsia="標楷體" w:hAnsi="標楷體"/>
                <w:color w:val="auto"/>
              </w:rPr>
              <w:lastRenderedPageBreak/>
              <w:t>抵後不得於當日循環使用之。</w:t>
            </w:r>
          </w:p>
          <w:p w:rsidR="00CD6BA9" w:rsidRPr="00194FC6" w:rsidRDefault="00CD6BA9" w:rsidP="000C6EF9">
            <w:pPr>
              <w:pStyle w:val="HTML"/>
              <w:ind w:left="600" w:hangingChars="250" w:hanging="600"/>
              <w:jc w:val="both"/>
              <w:rPr>
                <w:rFonts w:ascii="標楷體" w:eastAsia="標楷體" w:hAnsi="標楷體"/>
                <w:color w:val="auto"/>
              </w:rPr>
            </w:pPr>
            <w:r w:rsidRPr="00194FC6">
              <w:rPr>
                <w:rFonts w:ascii="標楷體" w:eastAsia="標楷體" w:hAnsi="標楷體" w:hint="eastAsia"/>
                <w:color w:val="auto"/>
              </w:rPr>
              <w:t>（二）委託人同時</w:t>
            </w:r>
            <w:r w:rsidR="009D5B55">
              <w:rPr>
                <w:rFonts w:ascii="標楷體" w:eastAsia="標楷體" w:hAnsi="標楷體" w:hint="eastAsia"/>
                <w:color w:val="auto"/>
              </w:rPr>
              <w:t>具備</w:t>
            </w:r>
            <w:r w:rsidRPr="00194FC6">
              <w:rPr>
                <w:rFonts w:ascii="標楷體" w:eastAsia="標楷體" w:hAnsi="標楷體" w:hint="eastAsia"/>
                <w:color w:val="auto"/>
              </w:rPr>
              <w:t>從事資</w:t>
            </w:r>
            <w:proofErr w:type="gramStart"/>
            <w:r w:rsidRPr="00194FC6">
              <w:rPr>
                <w:rFonts w:ascii="標楷體" w:eastAsia="標楷體" w:hAnsi="標楷體" w:hint="eastAsia"/>
                <w:color w:val="auto"/>
              </w:rPr>
              <w:t>券</w:t>
            </w:r>
            <w:proofErr w:type="gramEnd"/>
            <w:r w:rsidRPr="00194FC6">
              <w:rPr>
                <w:rFonts w:ascii="標楷體" w:eastAsia="標楷體" w:hAnsi="標楷體" w:hint="eastAsia"/>
                <w:color w:val="auto"/>
              </w:rPr>
              <w:t>相抵交割交易及有價證券</w:t>
            </w:r>
            <w:r w:rsidRPr="00194FC6">
              <w:rPr>
                <w:rFonts w:ascii="標楷體" w:eastAsia="標楷體" w:hAnsi="標楷體"/>
                <w:color w:val="auto"/>
              </w:rPr>
              <w:t>當日沖銷</w:t>
            </w:r>
            <w:r w:rsidRPr="00194FC6">
              <w:rPr>
                <w:rFonts w:ascii="標楷體" w:eastAsia="標楷體" w:hAnsi="標楷體" w:hint="eastAsia"/>
                <w:color w:val="auto"/>
              </w:rPr>
              <w:t>交易</w:t>
            </w:r>
            <w:r w:rsidR="009D5B55">
              <w:rPr>
                <w:rFonts w:ascii="標楷體" w:eastAsia="標楷體" w:hAnsi="標楷體" w:hint="eastAsia"/>
                <w:color w:val="auto"/>
              </w:rPr>
              <w:t>資格</w:t>
            </w:r>
            <w:r w:rsidRPr="00194FC6">
              <w:rPr>
                <w:rFonts w:ascii="標楷體" w:eastAsia="標楷體" w:hAnsi="標楷體" w:hint="eastAsia"/>
                <w:color w:val="auto"/>
              </w:rPr>
              <w:t>者，</w:t>
            </w:r>
            <w:r w:rsidRPr="00194FC6">
              <w:rPr>
                <w:rFonts w:ascii="標楷體" w:eastAsia="標楷體" w:hAnsi="標楷體"/>
                <w:color w:val="auto"/>
              </w:rPr>
              <w:t>當日沖銷</w:t>
            </w:r>
            <w:r w:rsidRPr="00194FC6">
              <w:rPr>
                <w:rFonts w:ascii="標楷體" w:eastAsia="標楷體" w:hAnsi="標楷體" w:hint="eastAsia"/>
                <w:color w:val="auto"/>
              </w:rPr>
              <w:t>額度應含資</w:t>
            </w:r>
            <w:proofErr w:type="gramStart"/>
            <w:r w:rsidRPr="00194FC6">
              <w:rPr>
                <w:rFonts w:ascii="標楷體" w:eastAsia="標楷體" w:hAnsi="標楷體" w:hint="eastAsia"/>
                <w:color w:val="auto"/>
              </w:rPr>
              <w:t>券</w:t>
            </w:r>
            <w:proofErr w:type="gramEnd"/>
            <w:r w:rsidRPr="00194FC6">
              <w:rPr>
                <w:rFonts w:ascii="標楷體" w:eastAsia="標楷體" w:hAnsi="標楷體" w:hint="eastAsia"/>
                <w:color w:val="auto"/>
              </w:rPr>
              <w:t>相抵交易額度。</w:t>
            </w:r>
            <w:r w:rsidRPr="00194FC6">
              <w:rPr>
                <w:rFonts w:ascii="標楷體" w:eastAsia="標楷體" w:hAnsi="標楷體"/>
                <w:color w:val="auto"/>
              </w:rPr>
              <w:t>當日沖銷委託賣出金額</w:t>
            </w:r>
            <w:r w:rsidRPr="00194FC6">
              <w:rPr>
                <w:rFonts w:ascii="標楷體" w:eastAsia="標楷體" w:hAnsi="標楷體" w:hint="eastAsia"/>
                <w:color w:val="auto"/>
              </w:rPr>
              <w:t>加計</w:t>
            </w:r>
            <w:r w:rsidRPr="00194FC6">
              <w:rPr>
                <w:rFonts w:ascii="標楷體" w:eastAsia="標楷體" w:hAnsi="標楷體"/>
                <w:color w:val="auto"/>
              </w:rPr>
              <w:t>融資買</w:t>
            </w:r>
            <w:r w:rsidR="00EB3A62">
              <w:rPr>
                <w:rFonts w:ascii="標楷體" w:eastAsia="標楷體" w:hAnsi="標楷體" w:hint="eastAsia"/>
                <w:color w:val="auto"/>
              </w:rPr>
              <w:t>進</w:t>
            </w:r>
            <w:r w:rsidRPr="00194FC6">
              <w:rPr>
                <w:rFonts w:ascii="標楷體" w:eastAsia="標楷體" w:hAnsi="標楷體"/>
                <w:color w:val="auto"/>
              </w:rPr>
              <w:t>或融券賣出</w:t>
            </w:r>
            <w:r w:rsidRPr="00194FC6">
              <w:rPr>
                <w:rFonts w:ascii="標楷體" w:eastAsia="標楷體" w:hAnsi="標楷體" w:hint="eastAsia"/>
                <w:color w:val="auto"/>
              </w:rPr>
              <w:t>之</w:t>
            </w:r>
            <w:r w:rsidRPr="00194FC6">
              <w:rPr>
                <w:rFonts w:ascii="標楷體" w:eastAsia="標楷體" w:hAnsi="標楷體"/>
                <w:color w:val="auto"/>
              </w:rPr>
              <w:t>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w:t>
            </w:r>
            <w:r w:rsidRPr="00194FC6">
              <w:rPr>
                <w:rFonts w:ascii="標楷體" w:eastAsia="標楷體" w:hAnsi="標楷體" w:hint="eastAsia"/>
                <w:color w:val="auto"/>
              </w:rPr>
              <w:t>交割</w:t>
            </w:r>
            <w:r w:rsidRPr="00194FC6">
              <w:rPr>
                <w:rFonts w:ascii="標楷體" w:eastAsia="標楷體" w:hAnsi="標楷體"/>
                <w:color w:val="auto"/>
              </w:rPr>
              <w:t>交易</w:t>
            </w:r>
            <w:r w:rsidR="00773179">
              <w:rPr>
                <w:rFonts w:ascii="標楷體" w:eastAsia="標楷體" w:hAnsi="標楷體" w:hint="eastAsia"/>
                <w:color w:val="auto"/>
              </w:rPr>
              <w:t>之</w:t>
            </w:r>
            <w:r w:rsidRPr="00194FC6">
              <w:rPr>
                <w:rFonts w:ascii="標楷體" w:eastAsia="標楷體" w:hAnsi="標楷體"/>
                <w:color w:val="auto"/>
              </w:rPr>
              <w:t>反向委託金額</w:t>
            </w:r>
            <w:r w:rsidR="00773179">
              <w:rPr>
                <w:rFonts w:ascii="標楷體" w:eastAsia="標楷體" w:hAnsi="標楷體" w:hint="eastAsia"/>
                <w:color w:val="auto"/>
              </w:rPr>
              <w:t>，</w:t>
            </w:r>
            <w:r w:rsidRPr="00194FC6">
              <w:rPr>
                <w:rFonts w:ascii="標楷體" w:eastAsia="標楷體" w:hAnsi="標楷體"/>
                <w:color w:val="auto"/>
              </w:rPr>
              <w:t>不得逾越當日沖銷</w:t>
            </w:r>
            <w:r w:rsidRPr="00194FC6">
              <w:rPr>
                <w:rFonts w:ascii="標楷體" w:eastAsia="標楷體" w:hAnsi="標楷體" w:hint="eastAsia"/>
                <w:color w:val="auto"/>
              </w:rPr>
              <w:t>額度。</w:t>
            </w:r>
          </w:p>
          <w:p w:rsidR="00CD6BA9" w:rsidRPr="00194FC6" w:rsidRDefault="00CD6BA9" w:rsidP="000C6EF9">
            <w:pPr>
              <w:pStyle w:val="HTML"/>
              <w:ind w:left="600" w:hangingChars="250" w:hanging="600"/>
              <w:jc w:val="both"/>
              <w:rPr>
                <w:rFonts w:ascii="標楷體" w:eastAsia="標楷體" w:hAnsi="標楷體"/>
                <w:color w:val="auto"/>
              </w:rPr>
            </w:pPr>
            <w:r w:rsidRPr="00194FC6">
              <w:rPr>
                <w:rFonts w:ascii="標楷體" w:eastAsia="標楷體" w:hAnsi="標楷體" w:hint="eastAsia"/>
                <w:color w:val="auto"/>
              </w:rPr>
              <w:t>（三）</w:t>
            </w:r>
            <w:r w:rsidRPr="00194FC6">
              <w:rPr>
                <w:rFonts w:ascii="標楷體" w:eastAsia="標楷體" w:hAnsi="標楷體"/>
                <w:color w:val="auto"/>
              </w:rPr>
              <w:t>委託人於盤後定價交易時段融資買</w:t>
            </w:r>
            <w:r w:rsidR="00EB3A62">
              <w:rPr>
                <w:rFonts w:ascii="標楷體" w:eastAsia="標楷體" w:hAnsi="標楷體" w:hint="eastAsia"/>
                <w:color w:val="auto"/>
              </w:rPr>
              <w:t>進</w:t>
            </w:r>
            <w:r w:rsidRPr="00194FC6">
              <w:rPr>
                <w:rFonts w:ascii="標楷體" w:eastAsia="標楷體" w:hAnsi="標楷體"/>
                <w:color w:val="auto"/>
              </w:rPr>
              <w:t>或融券賣出從事資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w:t>
            </w:r>
            <w:r w:rsidRPr="00194FC6">
              <w:rPr>
                <w:rFonts w:ascii="標楷體" w:eastAsia="標楷體" w:hAnsi="標楷體" w:hint="eastAsia"/>
                <w:color w:val="auto"/>
              </w:rPr>
              <w:t>交割</w:t>
            </w:r>
            <w:r w:rsidRPr="00194FC6">
              <w:rPr>
                <w:rFonts w:ascii="標楷體" w:eastAsia="標楷體" w:hAnsi="標楷體"/>
                <w:color w:val="auto"/>
              </w:rPr>
              <w:t>交易之反向委託金額</w:t>
            </w:r>
            <w:r w:rsidRPr="00194FC6">
              <w:rPr>
                <w:rFonts w:ascii="標楷體" w:eastAsia="標楷體" w:hAnsi="標楷體" w:hint="eastAsia"/>
                <w:color w:val="auto"/>
              </w:rPr>
              <w:t>，</w:t>
            </w:r>
            <w:r w:rsidRPr="00194FC6">
              <w:rPr>
                <w:rFonts w:ascii="標楷體" w:eastAsia="標楷體" w:hAnsi="標楷體"/>
                <w:color w:val="auto"/>
              </w:rPr>
              <w:t>應合併計算</w:t>
            </w:r>
            <w:r w:rsidRPr="00194FC6">
              <w:rPr>
                <w:rFonts w:ascii="標楷體" w:eastAsia="標楷體" w:hAnsi="標楷體" w:hint="eastAsia"/>
                <w:color w:val="auto"/>
              </w:rPr>
              <w:t>資</w:t>
            </w:r>
            <w:proofErr w:type="gramStart"/>
            <w:r w:rsidRPr="00194FC6">
              <w:rPr>
                <w:rFonts w:ascii="標楷體" w:eastAsia="標楷體" w:hAnsi="標楷體" w:hint="eastAsia"/>
                <w:color w:val="auto"/>
              </w:rPr>
              <w:t>券</w:t>
            </w:r>
            <w:proofErr w:type="gramEnd"/>
            <w:r w:rsidRPr="00194FC6">
              <w:rPr>
                <w:rFonts w:ascii="標楷體" w:eastAsia="標楷體" w:hAnsi="標楷體" w:hint="eastAsia"/>
                <w:color w:val="auto"/>
              </w:rPr>
              <w:t>相抵交易</w:t>
            </w:r>
            <w:r w:rsidRPr="00194FC6">
              <w:rPr>
                <w:rFonts w:ascii="標楷體" w:eastAsia="標楷體" w:hAnsi="標楷體"/>
                <w:color w:val="auto"/>
              </w:rPr>
              <w:t>額度</w:t>
            </w:r>
            <w:r w:rsidRPr="00194FC6">
              <w:rPr>
                <w:rFonts w:ascii="標楷體" w:eastAsia="標楷體" w:hAnsi="標楷體" w:hint="eastAsia"/>
                <w:color w:val="auto"/>
              </w:rPr>
              <w:t>或</w:t>
            </w:r>
            <w:r w:rsidRPr="00194FC6">
              <w:rPr>
                <w:rFonts w:ascii="標楷體" w:eastAsia="標楷體" w:hAnsi="標楷體"/>
                <w:color w:val="auto"/>
              </w:rPr>
              <w:t>當日沖銷</w:t>
            </w:r>
            <w:r w:rsidRPr="00194FC6">
              <w:rPr>
                <w:rFonts w:ascii="標楷體" w:eastAsia="標楷體" w:hAnsi="標楷體" w:hint="eastAsia"/>
                <w:color w:val="auto"/>
              </w:rPr>
              <w:t>額度</w:t>
            </w:r>
            <w:r w:rsidRPr="00194FC6">
              <w:rPr>
                <w:rFonts w:ascii="標楷體" w:eastAsia="標楷體" w:hAnsi="標楷體"/>
                <w:color w:val="auto"/>
              </w:rPr>
              <w:t>，但普通交易時段未成交之融資買</w:t>
            </w:r>
            <w:r w:rsidR="00EB3A62">
              <w:rPr>
                <w:rFonts w:ascii="標楷體" w:eastAsia="標楷體" w:hAnsi="標楷體" w:hint="eastAsia"/>
                <w:color w:val="auto"/>
              </w:rPr>
              <w:t>進</w:t>
            </w:r>
            <w:r w:rsidRPr="00194FC6">
              <w:rPr>
                <w:rFonts w:ascii="標楷體" w:eastAsia="標楷體" w:hAnsi="標楷體"/>
                <w:color w:val="auto"/>
              </w:rPr>
              <w:t>或融券賣出從事資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w:t>
            </w:r>
            <w:r w:rsidRPr="00194FC6">
              <w:rPr>
                <w:rFonts w:ascii="標楷體" w:eastAsia="標楷體" w:hAnsi="標楷體" w:hint="eastAsia"/>
                <w:color w:val="auto"/>
              </w:rPr>
              <w:t>交割</w:t>
            </w:r>
            <w:r w:rsidRPr="00194FC6">
              <w:rPr>
                <w:rFonts w:ascii="標楷體" w:eastAsia="標楷體" w:hAnsi="標楷體"/>
                <w:color w:val="auto"/>
              </w:rPr>
              <w:t>交易之反向委託金額不列入計算</w:t>
            </w:r>
            <w:r w:rsidRPr="00194FC6">
              <w:rPr>
                <w:rFonts w:ascii="標楷體" w:eastAsia="標楷體" w:hAnsi="標楷體" w:hint="eastAsia"/>
                <w:color w:val="auto"/>
              </w:rPr>
              <w:t>。</w:t>
            </w:r>
          </w:p>
        </w:tc>
        <w:tc>
          <w:tcPr>
            <w:tcW w:w="2787" w:type="dxa"/>
          </w:tcPr>
          <w:p w:rsidR="00CD6BA9" w:rsidRPr="00194FC6" w:rsidRDefault="00CD6BA9" w:rsidP="000C6EF9">
            <w:pPr>
              <w:pStyle w:val="HTML"/>
              <w:jc w:val="both"/>
              <w:rPr>
                <w:color w:val="auto"/>
              </w:rPr>
            </w:pPr>
          </w:p>
        </w:tc>
        <w:tc>
          <w:tcPr>
            <w:tcW w:w="2788" w:type="dxa"/>
          </w:tcPr>
          <w:p w:rsidR="00CD6BA9" w:rsidRPr="00194FC6" w:rsidRDefault="00CD6BA9" w:rsidP="000C6EF9">
            <w:pPr>
              <w:ind w:left="360" w:hangingChars="150" w:hanging="360"/>
              <w:jc w:val="both"/>
              <w:rPr>
                <w:rFonts w:ascii="標楷體" w:eastAsia="標楷體" w:hAnsi="標楷體" w:cs="細明體"/>
                <w:kern w:val="0"/>
                <w:szCs w:val="24"/>
                <w:u w:val="single"/>
              </w:rPr>
            </w:pPr>
            <w:r w:rsidRPr="00194FC6">
              <w:rPr>
                <w:rFonts w:ascii="標楷體" w:eastAsia="標楷體" w:hAnsi="標楷體" w:cs="細明體" w:hint="eastAsia"/>
                <w:kern w:val="0"/>
                <w:szCs w:val="24"/>
              </w:rPr>
              <w:t>一、</w:t>
            </w:r>
            <w:r w:rsidRPr="00194FC6">
              <w:rPr>
                <w:rFonts w:ascii="標楷體" w:eastAsia="標楷體" w:hAnsi="標楷體" w:cs="細明體" w:hint="eastAsia"/>
                <w:kern w:val="0"/>
                <w:szCs w:val="24"/>
                <w:u w:val="single"/>
              </w:rPr>
              <w:t>本條新增。</w:t>
            </w:r>
          </w:p>
          <w:p w:rsidR="00CD6BA9" w:rsidRPr="00194FC6" w:rsidRDefault="00CD6BA9" w:rsidP="000C6EF9">
            <w:pPr>
              <w:ind w:left="360" w:hangingChars="150" w:hanging="360"/>
              <w:jc w:val="both"/>
              <w:rPr>
                <w:rFonts w:ascii="標楷體" w:eastAsia="標楷體" w:hAnsi="標楷體" w:cs="細明體"/>
                <w:kern w:val="0"/>
                <w:szCs w:val="24"/>
              </w:rPr>
            </w:pPr>
            <w:r w:rsidRPr="00194FC6">
              <w:rPr>
                <w:rFonts w:ascii="標楷體" w:eastAsia="標楷體" w:hAnsi="標楷體" w:cs="細明體" w:hint="eastAsia"/>
                <w:kern w:val="0"/>
                <w:szCs w:val="24"/>
              </w:rPr>
              <w:t>二、</w:t>
            </w:r>
            <w:r w:rsidR="00030F02">
              <w:rPr>
                <w:rFonts w:ascii="標楷體" w:eastAsia="標楷體" w:hAnsi="標楷體" w:cs="細明體" w:hint="eastAsia"/>
                <w:kern w:val="0"/>
                <w:szCs w:val="24"/>
              </w:rPr>
              <w:t>第一項明定</w:t>
            </w:r>
            <w:r w:rsidRPr="00194FC6">
              <w:rPr>
                <w:rFonts w:ascii="標楷體" w:eastAsia="標楷體" w:hAnsi="標楷體" w:cs="細明體"/>
                <w:kern w:val="0"/>
                <w:szCs w:val="24"/>
              </w:rPr>
              <w:t>委託人資</w:t>
            </w:r>
            <w:proofErr w:type="gramStart"/>
            <w:r w:rsidRPr="00194FC6">
              <w:rPr>
                <w:rFonts w:ascii="標楷體" w:eastAsia="標楷體" w:hAnsi="標楷體" w:cs="細明體"/>
                <w:kern w:val="0"/>
                <w:szCs w:val="24"/>
              </w:rPr>
              <w:t>券</w:t>
            </w:r>
            <w:proofErr w:type="gramEnd"/>
            <w:r w:rsidRPr="00194FC6">
              <w:rPr>
                <w:rFonts w:ascii="標楷體" w:eastAsia="標楷體" w:hAnsi="標楷體" w:cs="細明體"/>
                <w:kern w:val="0"/>
                <w:szCs w:val="24"/>
              </w:rPr>
              <w:t>相抵交割之交易，</w:t>
            </w:r>
            <w:r w:rsidRPr="00194FC6">
              <w:rPr>
                <w:rFonts w:ascii="標楷體" w:eastAsia="標楷體" w:hAnsi="標楷體" w:cs="細明體" w:hint="eastAsia"/>
                <w:kern w:val="0"/>
                <w:szCs w:val="24"/>
              </w:rPr>
              <w:t>應列入「</w:t>
            </w:r>
            <w:hyperlink r:id="rId8" w:history="1">
              <w:r w:rsidRPr="00194FC6">
                <w:rPr>
                  <w:rFonts w:ascii="標楷體" w:eastAsia="標楷體" w:hAnsi="標楷體" w:cs="細明體"/>
                  <w:kern w:val="0"/>
                  <w:szCs w:val="24"/>
                </w:rPr>
                <w:t>中華民國證券商業同業公會會員受託買賣有價證券瞭解委託人及徵信與額度管理自律規</w:t>
              </w:r>
              <w:proofErr w:type="gramStart"/>
              <w:r w:rsidRPr="00194FC6">
                <w:rPr>
                  <w:rFonts w:ascii="標楷體" w:eastAsia="標楷體" w:hAnsi="標楷體" w:cs="細明體"/>
                  <w:kern w:val="0"/>
                  <w:szCs w:val="24"/>
                </w:rPr>
                <w:t>則</w:t>
              </w:r>
              <w:proofErr w:type="gramEnd"/>
            </w:hyperlink>
            <w:r w:rsidRPr="00194FC6">
              <w:rPr>
                <w:rFonts w:ascii="標楷體" w:eastAsia="標楷體" w:hAnsi="標楷體" w:cs="細明體" w:hint="eastAsia"/>
                <w:kern w:val="0"/>
                <w:szCs w:val="24"/>
              </w:rPr>
              <w:t>」規範之</w:t>
            </w:r>
            <w:r w:rsidRPr="00194FC6">
              <w:rPr>
                <w:rFonts w:ascii="標楷體" w:eastAsia="標楷體" w:hAnsi="標楷體" w:cs="細明體"/>
                <w:kern w:val="0"/>
                <w:szCs w:val="24"/>
              </w:rPr>
              <w:t>單日買賣額度計算</w:t>
            </w:r>
            <w:r w:rsidRPr="00194FC6">
              <w:rPr>
                <w:rFonts w:ascii="標楷體" w:eastAsia="標楷體" w:hAnsi="標楷體" w:cs="細明體" w:hint="eastAsia"/>
                <w:kern w:val="0"/>
                <w:szCs w:val="24"/>
              </w:rPr>
              <w:t>。</w:t>
            </w:r>
          </w:p>
          <w:p w:rsidR="00CD6BA9" w:rsidRPr="00194FC6" w:rsidRDefault="00CD6BA9" w:rsidP="000C6EF9">
            <w:pPr>
              <w:ind w:leftChars="-41" w:left="382" w:hangingChars="200" w:hanging="480"/>
              <w:jc w:val="both"/>
              <w:rPr>
                <w:rFonts w:ascii="標楷體" w:eastAsia="標楷體" w:hAnsi="標楷體" w:cs="細明體"/>
                <w:kern w:val="0"/>
                <w:szCs w:val="24"/>
              </w:rPr>
            </w:pPr>
            <w:r w:rsidRPr="00194FC6">
              <w:rPr>
                <w:rFonts w:ascii="標楷體" w:eastAsia="標楷體" w:hAnsi="標楷體" w:cs="細明體" w:hint="eastAsia"/>
                <w:kern w:val="0"/>
                <w:szCs w:val="24"/>
              </w:rPr>
              <w:t>二、為風險控管考量，於第二項</w:t>
            </w:r>
            <w:r w:rsidR="008059F8">
              <w:rPr>
                <w:rFonts w:ascii="標楷體" w:eastAsia="標楷體" w:hAnsi="標楷體" w:cs="細明體" w:hint="eastAsia"/>
                <w:kern w:val="0"/>
                <w:szCs w:val="24"/>
              </w:rPr>
              <w:t>明</w:t>
            </w:r>
            <w:r w:rsidRPr="00194FC6">
              <w:rPr>
                <w:rFonts w:ascii="標楷體" w:eastAsia="標楷體" w:hAnsi="標楷體" w:cs="細明體" w:hint="eastAsia"/>
                <w:kern w:val="0"/>
                <w:szCs w:val="24"/>
              </w:rPr>
              <w:t>定</w:t>
            </w:r>
            <w:r w:rsidRPr="00194FC6">
              <w:rPr>
                <w:rFonts w:ascii="標楷體" w:eastAsia="標楷體" w:hAnsi="標楷體" w:cs="細明體"/>
                <w:kern w:val="0"/>
                <w:szCs w:val="24"/>
              </w:rPr>
              <w:t>證券商依規定對委託人未訂定單日買賣額度而從事</w:t>
            </w:r>
            <w:r w:rsidRPr="00194FC6">
              <w:rPr>
                <w:rFonts w:ascii="標楷體" w:eastAsia="標楷體" w:hAnsi="標楷體" w:cs="細明體" w:hint="eastAsia"/>
                <w:kern w:val="0"/>
                <w:szCs w:val="24"/>
              </w:rPr>
              <w:t>資</w:t>
            </w:r>
            <w:proofErr w:type="gramStart"/>
            <w:r w:rsidRPr="00194FC6">
              <w:rPr>
                <w:rFonts w:ascii="標楷體" w:eastAsia="標楷體" w:hAnsi="標楷體" w:cs="細明體" w:hint="eastAsia"/>
                <w:kern w:val="0"/>
                <w:szCs w:val="24"/>
              </w:rPr>
              <w:t>券</w:t>
            </w:r>
            <w:proofErr w:type="gramEnd"/>
            <w:r w:rsidRPr="00194FC6">
              <w:rPr>
                <w:rFonts w:ascii="標楷體" w:eastAsia="標楷體" w:hAnsi="標楷體" w:cs="細明體" w:hint="eastAsia"/>
                <w:kern w:val="0"/>
                <w:szCs w:val="24"/>
              </w:rPr>
              <w:t>相抵交割</w:t>
            </w:r>
            <w:r w:rsidRPr="00194FC6">
              <w:rPr>
                <w:rFonts w:ascii="標楷體" w:eastAsia="標楷體" w:hAnsi="標楷體" w:cs="細明體"/>
                <w:kern w:val="0"/>
                <w:szCs w:val="24"/>
              </w:rPr>
              <w:t>交易者，應另訂</w:t>
            </w:r>
            <w:r w:rsidRPr="00194FC6">
              <w:rPr>
                <w:rFonts w:ascii="標楷體" w:eastAsia="標楷體" w:hAnsi="標楷體" w:cs="細明體" w:hint="eastAsia"/>
                <w:kern w:val="0"/>
                <w:szCs w:val="24"/>
              </w:rPr>
              <w:t>資</w:t>
            </w:r>
            <w:proofErr w:type="gramStart"/>
            <w:r w:rsidRPr="00194FC6">
              <w:rPr>
                <w:rFonts w:ascii="標楷體" w:eastAsia="標楷體" w:hAnsi="標楷體" w:cs="細明體" w:hint="eastAsia"/>
                <w:kern w:val="0"/>
                <w:szCs w:val="24"/>
              </w:rPr>
              <w:t>券</w:t>
            </w:r>
            <w:proofErr w:type="gramEnd"/>
            <w:r w:rsidRPr="00194FC6">
              <w:rPr>
                <w:rFonts w:ascii="標楷體" w:eastAsia="標楷體" w:hAnsi="標楷體" w:cs="細明體" w:hint="eastAsia"/>
                <w:kern w:val="0"/>
                <w:szCs w:val="24"/>
              </w:rPr>
              <w:t>相抵交易</w:t>
            </w:r>
            <w:r w:rsidRPr="00194FC6">
              <w:rPr>
                <w:rFonts w:ascii="標楷體" w:eastAsia="標楷體" w:hAnsi="標楷體" w:cs="細明體"/>
                <w:kern w:val="0"/>
                <w:szCs w:val="24"/>
              </w:rPr>
              <w:t>額度</w:t>
            </w:r>
            <w:r w:rsidRPr="00194FC6">
              <w:rPr>
                <w:rFonts w:ascii="標楷體" w:eastAsia="標楷體" w:hAnsi="標楷體" w:cs="細明體" w:hint="eastAsia"/>
                <w:kern w:val="0"/>
                <w:szCs w:val="24"/>
              </w:rPr>
              <w:t>，並</w:t>
            </w:r>
            <w:r w:rsidR="009C320D" w:rsidRPr="00194FC6">
              <w:rPr>
                <w:rFonts w:ascii="標楷體" w:eastAsia="標楷體" w:hAnsi="標楷體" w:cs="細明體" w:hint="eastAsia"/>
                <w:kern w:val="0"/>
                <w:szCs w:val="24"/>
              </w:rPr>
              <w:t>於第一款</w:t>
            </w:r>
            <w:r w:rsidRPr="00194FC6">
              <w:rPr>
                <w:rFonts w:ascii="標楷體" w:eastAsia="標楷體" w:hAnsi="標楷體" w:cs="細明體" w:hint="eastAsia"/>
                <w:kern w:val="0"/>
                <w:szCs w:val="24"/>
              </w:rPr>
              <w:t>訂定部位計算規定</w:t>
            </w:r>
            <w:r w:rsidRPr="00194FC6">
              <w:rPr>
                <w:rFonts w:ascii="標楷體" w:eastAsia="標楷體" w:hAnsi="標楷體" w:cs="細明體"/>
                <w:kern w:val="0"/>
                <w:szCs w:val="24"/>
              </w:rPr>
              <w:t>。</w:t>
            </w:r>
          </w:p>
          <w:p w:rsidR="00CD6BA9" w:rsidRPr="00194FC6" w:rsidRDefault="00CD6BA9" w:rsidP="000C6EF9">
            <w:pPr>
              <w:ind w:left="360" w:hangingChars="150" w:hanging="360"/>
              <w:jc w:val="both"/>
              <w:rPr>
                <w:rFonts w:ascii="標楷體" w:eastAsia="標楷體" w:hAnsi="標楷體" w:cs="細明體"/>
                <w:kern w:val="0"/>
                <w:szCs w:val="24"/>
              </w:rPr>
            </w:pPr>
            <w:r w:rsidRPr="00194FC6">
              <w:rPr>
                <w:rFonts w:ascii="標楷體" w:eastAsia="標楷體" w:hAnsi="標楷體" w:cs="細明體" w:hint="eastAsia"/>
                <w:kern w:val="0"/>
                <w:szCs w:val="24"/>
              </w:rPr>
              <w:t>三、鑒於現股當日沖銷交易與資</w:t>
            </w:r>
            <w:proofErr w:type="gramStart"/>
            <w:r w:rsidRPr="00194FC6">
              <w:rPr>
                <w:rFonts w:ascii="標楷體" w:eastAsia="標楷體" w:hAnsi="標楷體" w:cs="細明體" w:hint="eastAsia"/>
                <w:kern w:val="0"/>
                <w:szCs w:val="24"/>
              </w:rPr>
              <w:t>券</w:t>
            </w:r>
            <w:proofErr w:type="gramEnd"/>
            <w:r w:rsidRPr="00194FC6">
              <w:rPr>
                <w:rFonts w:ascii="標楷體" w:eastAsia="標楷體" w:hAnsi="標楷體" w:cs="細明體" w:hint="eastAsia"/>
                <w:kern w:val="0"/>
                <w:szCs w:val="24"/>
              </w:rPr>
              <w:t>相抵交易性質相仿，故投資人之兩者額度應合併控</w:t>
            </w:r>
            <w:r w:rsidRPr="00194FC6">
              <w:rPr>
                <w:rFonts w:ascii="標楷體" w:eastAsia="標楷體" w:hAnsi="標楷體" w:cs="細明體" w:hint="eastAsia"/>
                <w:kern w:val="0"/>
                <w:szCs w:val="24"/>
              </w:rPr>
              <w:lastRenderedPageBreak/>
              <w:t>管，</w:t>
            </w:r>
            <w:proofErr w:type="gramStart"/>
            <w:r w:rsidRPr="00194FC6">
              <w:rPr>
                <w:rFonts w:ascii="標楷體" w:eastAsia="標楷體" w:hAnsi="標楷體" w:cs="細明體" w:hint="eastAsia"/>
                <w:kern w:val="0"/>
                <w:szCs w:val="24"/>
              </w:rPr>
              <w:t>爰</w:t>
            </w:r>
            <w:proofErr w:type="gramEnd"/>
            <w:r w:rsidRPr="00194FC6">
              <w:rPr>
                <w:rFonts w:ascii="標楷體" w:eastAsia="標楷體" w:hAnsi="標楷體" w:cs="細明體" w:hint="eastAsia"/>
                <w:kern w:val="0"/>
                <w:szCs w:val="24"/>
              </w:rPr>
              <w:t>於第</w:t>
            </w:r>
            <w:r w:rsidR="009C320D" w:rsidRPr="00194FC6">
              <w:rPr>
                <w:rFonts w:ascii="標楷體" w:eastAsia="標楷體" w:hAnsi="標楷體" w:cs="細明體" w:hint="eastAsia"/>
                <w:kern w:val="0"/>
                <w:szCs w:val="24"/>
              </w:rPr>
              <w:t>二</w:t>
            </w:r>
            <w:r w:rsidRPr="00194FC6">
              <w:rPr>
                <w:rFonts w:ascii="標楷體" w:eastAsia="標楷體" w:hAnsi="標楷體" w:cs="細明體" w:hint="eastAsia"/>
                <w:kern w:val="0"/>
                <w:szCs w:val="24"/>
              </w:rPr>
              <w:t>項</w:t>
            </w:r>
            <w:r w:rsidR="004B46F5" w:rsidRPr="00194FC6">
              <w:rPr>
                <w:rFonts w:ascii="標楷體" w:eastAsia="標楷體" w:hAnsi="標楷體" w:cs="細明體" w:hint="eastAsia"/>
                <w:kern w:val="0"/>
                <w:szCs w:val="24"/>
              </w:rPr>
              <w:t>第二款</w:t>
            </w:r>
            <w:r w:rsidRPr="00194FC6">
              <w:rPr>
                <w:rFonts w:ascii="標楷體" w:eastAsia="標楷體" w:hAnsi="標楷體" w:cs="細明體" w:hint="eastAsia"/>
                <w:kern w:val="0"/>
                <w:szCs w:val="24"/>
              </w:rPr>
              <w:t>規定如委託人同時</w:t>
            </w:r>
            <w:r w:rsidR="00F06633">
              <w:rPr>
                <w:rFonts w:ascii="標楷體" w:eastAsia="標楷體" w:hAnsi="標楷體" w:cs="細明體" w:hint="eastAsia"/>
                <w:kern w:val="0"/>
                <w:szCs w:val="24"/>
              </w:rPr>
              <w:t>具備</w:t>
            </w:r>
            <w:r w:rsidRPr="00194FC6">
              <w:rPr>
                <w:rFonts w:ascii="標楷體" w:eastAsia="標楷體" w:hAnsi="標楷體" w:cs="細明體" w:hint="eastAsia"/>
                <w:kern w:val="0"/>
                <w:szCs w:val="24"/>
              </w:rPr>
              <w:t>從事資</w:t>
            </w:r>
            <w:proofErr w:type="gramStart"/>
            <w:r w:rsidRPr="00194FC6">
              <w:rPr>
                <w:rFonts w:ascii="標楷體" w:eastAsia="標楷體" w:hAnsi="標楷體" w:cs="細明體" w:hint="eastAsia"/>
                <w:kern w:val="0"/>
                <w:szCs w:val="24"/>
              </w:rPr>
              <w:t>券</w:t>
            </w:r>
            <w:proofErr w:type="gramEnd"/>
            <w:r w:rsidRPr="00194FC6">
              <w:rPr>
                <w:rFonts w:ascii="標楷體" w:eastAsia="標楷體" w:hAnsi="標楷體" w:cs="細明體" w:hint="eastAsia"/>
                <w:kern w:val="0"/>
                <w:szCs w:val="24"/>
              </w:rPr>
              <w:t>相抵交易及</w:t>
            </w:r>
            <w:r w:rsidRPr="00194FC6">
              <w:rPr>
                <w:rFonts w:ascii="標楷體" w:eastAsia="標楷體" w:hAnsi="標楷體" w:cs="細明體"/>
                <w:kern w:val="0"/>
                <w:szCs w:val="24"/>
              </w:rPr>
              <w:t>當日沖銷</w:t>
            </w:r>
            <w:r w:rsidRPr="00194FC6">
              <w:rPr>
                <w:rFonts w:ascii="標楷體" w:eastAsia="標楷體" w:hAnsi="標楷體" w:cs="細明體" w:hint="eastAsia"/>
                <w:kern w:val="0"/>
                <w:szCs w:val="24"/>
              </w:rPr>
              <w:t>交易</w:t>
            </w:r>
            <w:r w:rsidR="00F06633">
              <w:rPr>
                <w:rFonts w:ascii="標楷體" w:eastAsia="標楷體" w:hAnsi="標楷體" w:cs="細明體" w:hint="eastAsia"/>
                <w:kern w:val="0"/>
                <w:szCs w:val="24"/>
              </w:rPr>
              <w:t>資格</w:t>
            </w:r>
            <w:r w:rsidRPr="00194FC6">
              <w:rPr>
                <w:rFonts w:ascii="標楷體" w:eastAsia="標楷體" w:hAnsi="標楷體" w:cs="細明體" w:hint="eastAsia"/>
                <w:kern w:val="0"/>
                <w:szCs w:val="24"/>
              </w:rPr>
              <w:t>者，</w:t>
            </w:r>
            <w:r w:rsidRPr="00194FC6">
              <w:rPr>
                <w:rFonts w:ascii="標楷體" w:eastAsia="標楷體" w:hAnsi="標楷體" w:cs="細明體"/>
                <w:kern w:val="0"/>
                <w:szCs w:val="24"/>
              </w:rPr>
              <w:t>當日沖銷</w:t>
            </w:r>
            <w:r w:rsidRPr="00194FC6">
              <w:rPr>
                <w:rFonts w:ascii="標楷體" w:eastAsia="標楷體" w:hAnsi="標楷體" w:cs="細明體" w:hint="eastAsia"/>
                <w:kern w:val="0"/>
                <w:szCs w:val="24"/>
              </w:rPr>
              <w:t>額度應含資</w:t>
            </w:r>
            <w:proofErr w:type="gramStart"/>
            <w:r w:rsidRPr="00194FC6">
              <w:rPr>
                <w:rFonts w:ascii="標楷體" w:eastAsia="標楷體" w:hAnsi="標楷體" w:cs="細明體" w:hint="eastAsia"/>
                <w:kern w:val="0"/>
                <w:szCs w:val="24"/>
              </w:rPr>
              <w:t>券</w:t>
            </w:r>
            <w:proofErr w:type="gramEnd"/>
            <w:r w:rsidRPr="00194FC6">
              <w:rPr>
                <w:rFonts w:ascii="標楷體" w:eastAsia="標楷體" w:hAnsi="標楷體" w:cs="細明體" w:hint="eastAsia"/>
                <w:kern w:val="0"/>
                <w:szCs w:val="24"/>
              </w:rPr>
              <w:t>相抵交易額度。</w:t>
            </w:r>
          </w:p>
          <w:p w:rsidR="00CD6BA9" w:rsidRPr="00194FC6" w:rsidRDefault="00CD6BA9" w:rsidP="00ED4E3F">
            <w:pPr>
              <w:ind w:left="360" w:hangingChars="150" w:hanging="360"/>
              <w:jc w:val="both"/>
            </w:pPr>
            <w:r w:rsidRPr="00194FC6">
              <w:rPr>
                <w:rFonts w:ascii="標楷體" w:eastAsia="標楷體" w:hAnsi="標楷體" w:cs="細明體" w:hint="eastAsia"/>
                <w:kern w:val="0"/>
                <w:szCs w:val="24"/>
              </w:rPr>
              <w:t>四、增訂第</w:t>
            </w:r>
            <w:r w:rsidR="00ED4E3F" w:rsidRPr="00194FC6">
              <w:rPr>
                <w:rFonts w:ascii="標楷體" w:eastAsia="標楷體" w:hAnsi="標楷體" w:cs="細明體" w:hint="eastAsia"/>
                <w:kern w:val="0"/>
                <w:szCs w:val="24"/>
              </w:rPr>
              <w:t>二</w:t>
            </w:r>
            <w:r w:rsidRPr="00194FC6">
              <w:rPr>
                <w:rFonts w:ascii="標楷體" w:eastAsia="標楷體" w:hAnsi="標楷體" w:cs="細明體" w:hint="eastAsia"/>
                <w:kern w:val="0"/>
                <w:szCs w:val="24"/>
              </w:rPr>
              <w:t>項</w:t>
            </w:r>
            <w:r w:rsidR="00971001" w:rsidRPr="00194FC6">
              <w:rPr>
                <w:rFonts w:ascii="標楷體" w:eastAsia="標楷體" w:hAnsi="標楷體" w:cs="細明體" w:hint="eastAsia"/>
                <w:kern w:val="0"/>
                <w:szCs w:val="24"/>
              </w:rPr>
              <w:t>第三款</w:t>
            </w:r>
            <w:r w:rsidRPr="00194FC6">
              <w:rPr>
                <w:rFonts w:ascii="標楷體" w:eastAsia="標楷體" w:hAnsi="標楷體" w:cs="細明體" w:hint="eastAsia"/>
                <w:kern w:val="0"/>
                <w:szCs w:val="24"/>
              </w:rPr>
              <w:t>，說明</w:t>
            </w:r>
            <w:r w:rsidRPr="00194FC6">
              <w:rPr>
                <w:rFonts w:ascii="標楷體" w:eastAsia="標楷體" w:hAnsi="標楷體" w:cs="細明體"/>
                <w:kern w:val="0"/>
                <w:szCs w:val="24"/>
              </w:rPr>
              <w:t>盤後定價交易</w:t>
            </w:r>
            <w:r w:rsidRPr="00194FC6">
              <w:rPr>
                <w:rFonts w:ascii="標楷體" w:eastAsia="標楷體" w:hAnsi="標楷體" w:cs="細明體" w:hint="eastAsia"/>
                <w:kern w:val="0"/>
                <w:szCs w:val="24"/>
              </w:rPr>
              <w:t>與</w:t>
            </w:r>
            <w:r w:rsidRPr="00194FC6">
              <w:rPr>
                <w:rFonts w:ascii="標楷體" w:eastAsia="標楷體" w:hAnsi="標楷體" w:cs="細明體"/>
                <w:kern w:val="0"/>
                <w:szCs w:val="24"/>
              </w:rPr>
              <w:t>普通交易</w:t>
            </w:r>
            <w:r w:rsidRPr="00194FC6">
              <w:rPr>
                <w:rFonts w:ascii="標楷體" w:eastAsia="標楷體" w:hAnsi="標楷體" w:cs="細明體" w:hint="eastAsia"/>
                <w:kern w:val="0"/>
                <w:szCs w:val="24"/>
              </w:rPr>
              <w:t>時段應納入額度控管之資券相抵交易部位，俾</w:t>
            </w:r>
            <w:r w:rsidR="002D7F95">
              <w:rPr>
                <w:rFonts w:ascii="標楷體" w:eastAsia="標楷體" w:hAnsi="標楷體" w:cs="細明體" w:hint="eastAsia"/>
                <w:kern w:val="0"/>
                <w:szCs w:val="24"/>
              </w:rPr>
              <w:t>資</w:t>
            </w:r>
            <w:r w:rsidRPr="00194FC6">
              <w:rPr>
                <w:rFonts w:ascii="標楷體" w:eastAsia="標楷體" w:hAnsi="標楷體" w:cs="細明體" w:hint="eastAsia"/>
                <w:kern w:val="0"/>
                <w:szCs w:val="24"/>
              </w:rPr>
              <w:t>明確。</w:t>
            </w:r>
          </w:p>
        </w:tc>
      </w:tr>
      <w:tr w:rsidR="00CD6BA9" w:rsidRPr="00194FC6" w:rsidTr="00AC06A5">
        <w:trPr>
          <w:trHeight w:val="924"/>
        </w:trPr>
        <w:tc>
          <w:tcPr>
            <w:tcW w:w="2787" w:type="dxa"/>
          </w:tcPr>
          <w:p w:rsidR="00CD6BA9" w:rsidRPr="00194FC6" w:rsidRDefault="00CD6BA9" w:rsidP="001975A4">
            <w:pPr>
              <w:pStyle w:val="HTML"/>
              <w:jc w:val="both"/>
              <w:rPr>
                <w:rFonts w:eastAsia="標楷體"/>
                <w:color w:val="auto"/>
              </w:rPr>
            </w:pPr>
            <w:r w:rsidRPr="00194FC6">
              <w:rPr>
                <w:rFonts w:eastAsia="標楷體" w:hint="eastAsia"/>
                <w:color w:val="auto"/>
              </w:rPr>
              <w:lastRenderedPageBreak/>
              <w:t>（刪除）</w:t>
            </w:r>
          </w:p>
        </w:tc>
        <w:tc>
          <w:tcPr>
            <w:tcW w:w="2787" w:type="dxa"/>
          </w:tcPr>
          <w:p w:rsidR="00CD6BA9" w:rsidRPr="00194FC6" w:rsidRDefault="00CD6BA9" w:rsidP="001C24E2">
            <w:pPr>
              <w:pStyle w:val="HTML"/>
              <w:ind w:left="48" w:hangingChars="20" w:hanging="48"/>
              <w:jc w:val="both"/>
              <w:rPr>
                <w:rFonts w:ascii="標楷體" w:eastAsia="標楷體" w:hAnsi="標楷體"/>
                <w:color w:val="auto"/>
              </w:rPr>
            </w:pPr>
            <w:r w:rsidRPr="00194FC6">
              <w:rPr>
                <w:rFonts w:ascii="標楷體" w:eastAsia="標楷體" w:hAnsi="標楷體" w:hint="eastAsia"/>
                <w:color w:val="auto"/>
              </w:rPr>
              <w:t>四、（刪除）</w:t>
            </w:r>
          </w:p>
        </w:tc>
        <w:tc>
          <w:tcPr>
            <w:tcW w:w="2788" w:type="dxa"/>
          </w:tcPr>
          <w:p w:rsidR="00CD6BA9" w:rsidRPr="00194FC6" w:rsidRDefault="00CD6BA9" w:rsidP="008F6FA2">
            <w:pPr>
              <w:kinsoku w:val="0"/>
              <w:overflowPunct w:val="0"/>
              <w:autoSpaceDE w:val="0"/>
              <w:ind w:rightChars="50" w:right="120"/>
              <w:jc w:val="both"/>
              <w:textAlignment w:val="center"/>
              <w:rPr>
                <w:rFonts w:eastAsia="標楷體"/>
                <w:u w:val="single"/>
              </w:rPr>
            </w:pPr>
            <w:r w:rsidRPr="00194FC6">
              <w:rPr>
                <w:rFonts w:eastAsia="標楷體" w:hint="eastAsia"/>
                <w:u w:val="single"/>
              </w:rPr>
              <w:t>本</w:t>
            </w:r>
            <w:r w:rsidRPr="00194FC6">
              <w:rPr>
                <w:rFonts w:ascii="標楷體" w:eastAsia="標楷體" w:hAnsi="標楷體" w:cs="細明體" w:hint="eastAsia"/>
                <w:kern w:val="0"/>
                <w:szCs w:val="24"/>
                <w:u w:val="single"/>
              </w:rPr>
              <w:t>條</w:t>
            </w:r>
            <w:r w:rsidRPr="00194FC6">
              <w:rPr>
                <w:rFonts w:eastAsia="標楷體" w:hint="eastAsia"/>
                <w:u w:val="single"/>
              </w:rPr>
              <w:t>刪除</w:t>
            </w:r>
            <w:r w:rsidRPr="00194FC6">
              <w:rPr>
                <w:rFonts w:eastAsia="標楷體" w:hint="eastAsia"/>
              </w:rPr>
              <w:t>。</w:t>
            </w:r>
          </w:p>
        </w:tc>
      </w:tr>
      <w:tr w:rsidR="00725DB4" w:rsidRPr="00194FC6" w:rsidTr="003A6FA4">
        <w:tc>
          <w:tcPr>
            <w:tcW w:w="2787" w:type="dxa"/>
          </w:tcPr>
          <w:p w:rsidR="00725DB4" w:rsidRPr="00194FC6" w:rsidRDefault="00704554" w:rsidP="00931D0D">
            <w:pPr>
              <w:pStyle w:val="HTML"/>
              <w:jc w:val="both"/>
              <w:rPr>
                <w:rFonts w:ascii="標楷體" w:eastAsia="標楷體" w:hAnsi="標楷體"/>
                <w:color w:val="auto"/>
              </w:rPr>
            </w:pPr>
            <w:r w:rsidRPr="00194FC6">
              <w:rPr>
                <w:rFonts w:ascii="標楷體" w:eastAsia="標楷體" w:hAnsi="標楷體" w:hint="eastAsia"/>
                <w:color w:val="auto"/>
              </w:rPr>
              <w:t>四</w:t>
            </w:r>
            <w:r w:rsidR="006D4CCC" w:rsidRPr="00194FC6">
              <w:rPr>
                <w:rFonts w:ascii="標楷體" w:eastAsia="標楷體" w:hAnsi="標楷體" w:hint="eastAsia"/>
                <w:color w:val="auto"/>
              </w:rPr>
              <w:t>、</w:t>
            </w:r>
            <w:r w:rsidR="00231B5E" w:rsidRPr="00194FC6">
              <w:rPr>
                <w:rFonts w:ascii="標楷體" w:eastAsia="標楷體" w:hAnsi="標楷體"/>
                <w:color w:val="auto"/>
              </w:rPr>
              <w:t>證券商應於每日收盤後，就委託人</w:t>
            </w:r>
            <w:r w:rsidR="00231B5E" w:rsidRPr="00194FC6">
              <w:rPr>
                <w:rFonts w:ascii="標楷體" w:eastAsia="標楷體" w:hAnsi="標楷體" w:hint="eastAsia"/>
                <w:color w:val="auto"/>
              </w:rPr>
              <w:t>資</w:t>
            </w:r>
            <w:proofErr w:type="gramStart"/>
            <w:r w:rsidR="00231B5E" w:rsidRPr="00194FC6">
              <w:rPr>
                <w:rFonts w:ascii="標楷體" w:eastAsia="標楷體" w:hAnsi="標楷體" w:hint="eastAsia"/>
                <w:color w:val="auto"/>
              </w:rPr>
              <w:t>券</w:t>
            </w:r>
            <w:proofErr w:type="gramEnd"/>
            <w:r w:rsidR="00231B5E" w:rsidRPr="00194FC6">
              <w:rPr>
                <w:rFonts w:ascii="標楷體" w:eastAsia="標楷體" w:hAnsi="標楷體" w:hint="eastAsia"/>
                <w:color w:val="auto"/>
              </w:rPr>
              <w:t>相抵交割交易</w:t>
            </w:r>
            <w:r w:rsidR="00231B5E" w:rsidRPr="00194FC6">
              <w:rPr>
                <w:rFonts w:ascii="標楷體" w:eastAsia="標楷體" w:hAnsi="標楷體"/>
                <w:color w:val="auto"/>
              </w:rPr>
              <w:t>之損益，評估增減其單日買賣額度或</w:t>
            </w:r>
            <w:r w:rsidR="00231B5E" w:rsidRPr="00194FC6">
              <w:rPr>
                <w:rFonts w:ascii="標楷體" w:eastAsia="標楷體" w:hAnsi="標楷體" w:hint="eastAsia"/>
                <w:color w:val="auto"/>
              </w:rPr>
              <w:t>資</w:t>
            </w:r>
            <w:proofErr w:type="gramStart"/>
            <w:r w:rsidR="00231B5E" w:rsidRPr="00194FC6">
              <w:rPr>
                <w:rFonts w:ascii="標楷體" w:eastAsia="標楷體" w:hAnsi="標楷體" w:hint="eastAsia"/>
                <w:color w:val="auto"/>
              </w:rPr>
              <w:t>券</w:t>
            </w:r>
            <w:proofErr w:type="gramEnd"/>
            <w:r w:rsidR="00231B5E" w:rsidRPr="00194FC6">
              <w:rPr>
                <w:rFonts w:ascii="標楷體" w:eastAsia="標楷體" w:hAnsi="標楷體" w:hint="eastAsia"/>
                <w:color w:val="auto"/>
              </w:rPr>
              <w:t>相抵交易</w:t>
            </w:r>
            <w:r w:rsidR="00231B5E" w:rsidRPr="00194FC6">
              <w:rPr>
                <w:rFonts w:ascii="標楷體" w:eastAsia="標楷體" w:hAnsi="標楷體"/>
                <w:color w:val="auto"/>
              </w:rPr>
              <w:t>額度。</w:t>
            </w:r>
            <w:r w:rsidR="00416222" w:rsidRPr="00194FC6">
              <w:rPr>
                <w:rFonts w:ascii="標楷體" w:eastAsia="標楷體" w:hAnsi="標楷體" w:hint="eastAsia"/>
                <w:color w:val="auto"/>
              </w:rPr>
              <w:t>委託人</w:t>
            </w:r>
            <w:r w:rsidR="00231B5E" w:rsidRPr="00194FC6">
              <w:rPr>
                <w:rFonts w:ascii="標楷體" w:eastAsia="標楷體" w:hAnsi="標楷體" w:hint="eastAsia"/>
                <w:color w:val="auto"/>
              </w:rPr>
              <w:t>同時</w:t>
            </w:r>
            <w:r w:rsidR="009D5B55">
              <w:rPr>
                <w:rFonts w:ascii="標楷體" w:eastAsia="標楷體" w:hAnsi="標楷體" w:hint="eastAsia"/>
                <w:color w:val="auto"/>
              </w:rPr>
              <w:t>具備</w:t>
            </w:r>
            <w:r w:rsidR="00231B5E" w:rsidRPr="00194FC6">
              <w:rPr>
                <w:rFonts w:ascii="標楷體" w:eastAsia="標楷體" w:hAnsi="標楷體" w:hint="eastAsia"/>
                <w:color w:val="auto"/>
              </w:rPr>
              <w:t>從事</w:t>
            </w:r>
            <w:r w:rsidR="00E40DCC" w:rsidRPr="00194FC6">
              <w:rPr>
                <w:rFonts w:ascii="標楷體" w:eastAsia="標楷體" w:hAnsi="標楷體" w:hint="eastAsia"/>
                <w:color w:val="auto"/>
              </w:rPr>
              <w:t>有價證券</w:t>
            </w:r>
            <w:r w:rsidR="00231B5E" w:rsidRPr="00194FC6">
              <w:rPr>
                <w:rFonts w:ascii="標楷體" w:eastAsia="標楷體" w:hAnsi="標楷體"/>
                <w:color w:val="auto"/>
              </w:rPr>
              <w:t>當</w:t>
            </w:r>
            <w:r w:rsidR="00231B5E" w:rsidRPr="00194FC6">
              <w:rPr>
                <w:rFonts w:ascii="標楷體" w:eastAsia="標楷體" w:hAnsi="標楷體"/>
                <w:color w:val="auto"/>
              </w:rPr>
              <w:lastRenderedPageBreak/>
              <w:t>日沖銷交易</w:t>
            </w:r>
            <w:r w:rsidR="009D5B55">
              <w:rPr>
                <w:rFonts w:ascii="標楷體" w:eastAsia="標楷體" w:hAnsi="標楷體" w:hint="eastAsia"/>
                <w:color w:val="auto"/>
              </w:rPr>
              <w:t>資格</w:t>
            </w:r>
            <w:r w:rsidR="00231B5E" w:rsidRPr="00194FC6">
              <w:rPr>
                <w:rFonts w:ascii="標楷體" w:eastAsia="標楷體" w:hAnsi="標楷體" w:hint="eastAsia"/>
                <w:color w:val="auto"/>
              </w:rPr>
              <w:t>者，當日沖銷交易及資券相抵交割交易應合併計算損益情形，並評估</w:t>
            </w:r>
            <w:r w:rsidR="00231B5E" w:rsidRPr="00194FC6">
              <w:rPr>
                <w:rFonts w:ascii="標楷體" w:eastAsia="標楷體" w:hAnsi="標楷體"/>
                <w:color w:val="auto"/>
              </w:rPr>
              <w:t>增減其單日買賣額度</w:t>
            </w:r>
            <w:r w:rsidR="00931D0D">
              <w:rPr>
                <w:rFonts w:ascii="標楷體" w:eastAsia="標楷體" w:hAnsi="標楷體" w:hint="eastAsia"/>
                <w:color w:val="auto"/>
              </w:rPr>
              <w:t>、</w:t>
            </w:r>
            <w:r w:rsidR="00DF1CC0" w:rsidRPr="00194FC6">
              <w:rPr>
                <w:rFonts w:ascii="標楷體" w:eastAsia="標楷體" w:hAnsi="標楷體" w:hint="eastAsia"/>
                <w:color w:val="auto"/>
              </w:rPr>
              <w:t>資券相抵交易額度</w:t>
            </w:r>
            <w:r w:rsidR="00D60392" w:rsidRPr="00194FC6">
              <w:rPr>
                <w:rFonts w:ascii="標楷體" w:eastAsia="標楷體" w:hAnsi="標楷體"/>
                <w:color w:val="auto"/>
              </w:rPr>
              <w:t>或</w:t>
            </w:r>
            <w:r w:rsidR="00231B5E" w:rsidRPr="00194FC6">
              <w:rPr>
                <w:rFonts w:ascii="標楷體" w:eastAsia="標楷體" w:hAnsi="標楷體"/>
                <w:color w:val="auto"/>
              </w:rPr>
              <w:t>當日沖銷</w:t>
            </w:r>
            <w:r w:rsidR="00231B5E" w:rsidRPr="00194FC6">
              <w:rPr>
                <w:rFonts w:ascii="標楷體" w:eastAsia="標楷體" w:hAnsi="標楷體" w:hint="eastAsia"/>
                <w:color w:val="auto"/>
              </w:rPr>
              <w:t>額度。</w:t>
            </w:r>
          </w:p>
        </w:tc>
        <w:tc>
          <w:tcPr>
            <w:tcW w:w="2787" w:type="dxa"/>
          </w:tcPr>
          <w:p w:rsidR="00725DB4" w:rsidRPr="00194FC6" w:rsidRDefault="00725DB4" w:rsidP="001C24E2">
            <w:pPr>
              <w:pStyle w:val="HTML"/>
              <w:jc w:val="both"/>
              <w:rPr>
                <w:color w:val="auto"/>
              </w:rPr>
            </w:pPr>
          </w:p>
        </w:tc>
        <w:tc>
          <w:tcPr>
            <w:tcW w:w="2788" w:type="dxa"/>
          </w:tcPr>
          <w:p w:rsidR="009E62D1" w:rsidRPr="00194FC6" w:rsidRDefault="009E62D1" w:rsidP="009E62D1">
            <w:pPr>
              <w:ind w:left="360" w:hangingChars="150" w:hanging="360"/>
              <w:jc w:val="both"/>
              <w:rPr>
                <w:rFonts w:ascii="標楷體" w:eastAsia="標楷體" w:hAnsi="標楷體" w:cs="細明體"/>
                <w:kern w:val="0"/>
                <w:szCs w:val="24"/>
                <w:u w:val="single"/>
              </w:rPr>
            </w:pPr>
            <w:r w:rsidRPr="00194FC6">
              <w:rPr>
                <w:rFonts w:ascii="標楷體" w:eastAsia="標楷體" w:hAnsi="標楷體" w:cs="細明體" w:hint="eastAsia"/>
                <w:kern w:val="0"/>
                <w:szCs w:val="24"/>
              </w:rPr>
              <w:t>一、</w:t>
            </w:r>
            <w:r w:rsidRPr="00194FC6">
              <w:rPr>
                <w:rFonts w:ascii="標楷體" w:eastAsia="標楷體" w:hAnsi="標楷體" w:cs="細明體" w:hint="eastAsia"/>
                <w:kern w:val="0"/>
                <w:szCs w:val="24"/>
                <w:u w:val="single"/>
              </w:rPr>
              <w:t>本</w:t>
            </w:r>
            <w:r w:rsidR="00E35196" w:rsidRPr="00194FC6">
              <w:rPr>
                <w:rFonts w:ascii="標楷體" w:eastAsia="標楷體" w:hAnsi="標楷體" w:cs="細明體" w:hint="eastAsia"/>
                <w:kern w:val="0"/>
                <w:szCs w:val="24"/>
                <w:u w:val="single"/>
              </w:rPr>
              <w:t>條</w:t>
            </w:r>
            <w:r w:rsidRPr="00194FC6">
              <w:rPr>
                <w:rFonts w:ascii="標楷體" w:eastAsia="標楷體" w:hAnsi="標楷體" w:cs="細明體" w:hint="eastAsia"/>
                <w:kern w:val="0"/>
                <w:szCs w:val="24"/>
                <w:u w:val="single"/>
              </w:rPr>
              <w:t>新增。</w:t>
            </w:r>
          </w:p>
          <w:p w:rsidR="000046B7" w:rsidRPr="00194FC6" w:rsidRDefault="009E62D1" w:rsidP="00C838A2">
            <w:pPr>
              <w:ind w:left="480" w:hangingChars="200" w:hanging="480"/>
              <w:jc w:val="both"/>
              <w:rPr>
                <w:rFonts w:ascii="標楷體" w:eastAsia="標楷體" w:hAnsi="標楷體" w:cs="細明體"/>
                <w:kern w:val="0"/>
                <w:szCs w:val="24"/>
              </w:rPr>
            </w:pPr>
            <w:r w:rsidRPr="00194FC6">
              <w:rPr>
                <w:rFonts w:ascii="標楷體" w:eastAsia="標楷體" w:hAnsi="標楷體" w:cs="細明體" w:hint="eastAsia"/>
                <w:kern w:val="0"/>
                <w:szCs w:val="24"/>
              </w:rPr>
              <w:t>二、</w:t>
            </w:r>
            <w:r w:rsidR="00231B5E" w:rsidRPr="00194FC6">
              <w:rPr>
                <w:rFonts w:ascii="標楷體" w:eastAsia="標楷體" w:hAnsi="標楷體" w:cs="細明體" w:hint="eastAsia"/>
                <w:kern w:val="0"/>
                <w:szCs w:val="24"/>
              </w:rPr>
              <w:t>參酌「有價證券當日沖銷交易作業辦法」，增訂證券商風險控管機制。但考量資</w:t>
            </w:r>
            <w:proofErr w:type="gramStart"/>
            <w:r w:rsidR="00231B5E" w:rsidRPr="00194FC6">
              <w:rPr>
                <w:rFonts w:ascii="標楷體" w:eastAsia="標楷體" w:hAnsi="標楷體" w:cs="細明體" w:hint="eastAsia"/>
                <w:kern w:val="0"/>
                <w:szCs w:val="24"/>
              </w:rPr>
              <w:t>券</w:t>
            </w:r>
            <w:proofErr w:type="gramEnd"/>
            <w:r w:rsidR="00231B5E" w:rsidRPr="00194FC6">
              <w:rPr>
                <w:rFonts w:ascii="標楷體" w:eastAsia="標楷體" w:hAnsi="標楷體" w:cs="細明體" w:hint="eastAsia"/>
                <w:kern w:val="0"/>
                <w:szCs w:val="24"/>
              </w:rPr>
              <w:t>相抵交易及現</w:t>
            </w:r>
            <w:r w:rsidR="00231B5E" w:rsidRPr="00194FC6">
              <w:rPr>
                <w:rFonts w:ascii="標楷體" w:eastAsia="標楷體" w:hAnsi="標楷體" w:cs="細明體" w:hint="eastAsia"/>
                <w:kern w:val="0"/>
                <w:szCs w:val="24"/>
              </w:rPr>
              <w:lastRenderedPageBreak/>
              <w:t>股當日沖銷交易性質相仿，兩者風險應合併控管，</w:t>
            </w:r>
            <w:proofErr w:type="gramStart"/>
            <w:r w:rsidR="00231B5E" w:rsidRPr="00194FC6">
              <w:rPr>
                <w:rFonts w:ascii="標楷體" w:eastAsia="標楷體" w:hAnsi="標楷體" w:cs="細明體" w:hint="eastAsia"/>
                <w:kern w:val="0"/>
                <w:szCs w:val="24"/>
              </w:rPr>
              <w:t>爰</w:t>
            </w:r>
            <w:proofErr w:type="gramEnd"/>
            <w:r w:rsidR="00231B5E" w:rsidRPr="00194FC6">
              <w:rPr>
                <w:rFonts w:ascii="標楷體" w:eastAsia="標楷體" w:hAnsi="標楷體" w:cs="細明體" w:hint="eastAsia"/>
                <w:kern w:val="0"/>
                <w:szCs w:val="24"/>
              </w:rPr>
              <w:t>規範</w:t>
            </w:r>
            <w:r w:rsidR="0051735D" w:rsidRPr="00194FC6">
              <w:rPr>
                <w:rFonts w:ascii="標楷體" w:eastAsia="標楷體" w:hAnsi="標楷體" w:cs="細明體" w:hint="eastAsia"/>
                <w:kern w:val="0"/>
                <w:szCs w:val="24"/>
              </w:rPr>
              <w:t>委託人</w:t>
            </w:r>
            <w:r w:rsidR="00231B5E" w:rsidRPr="00194FC6">
              <w:rPr>
                <w:rFonts w:ascii="標楷體" w:eastAsia="標楷體" w:hAnsi="標楷體" w:cs="細明體" w:hint="eastAsia"/>
                <w:kern w:val="0"/>
                <w:szCs w:val="24"/>
              </w:rPr>
              <w:t>同時</w:t>
            </w:r>
            <w:r w:rsidR="00EB7905">
              <w:rPr>
                <w:rFonts w:ascii="標楷體" w:eastAsia="標楷體" w:hAnsi="標楷體" w:cs="細明體" w:hint="eastAsia"/>
                <w:kern w:val="0"/>
                <w:szCs w:val="24"/>
              </w:rPr>
              <w:t>具備</w:t>
            </w:r>
            <w:r w:rsidR="00231B5E" w:rsidRPr="00194FC6">
              <w:rPr>
                <w:rFonts w:ascii="標楷體" w:eastAsia="標楷體" w:hAnsi="標楷體" w:cs="細明體" w:hint="eastAsia"/>
                <w:kern w:val="0"/>
                <w:szCs w:val="24"/>
              </w:rPr>
              <w:t>從事現股當日沖銷交易及資</w:t>
            </w:r>
            <w:proofErr w:type="gramStart"/>
            <w:r w:rsidR="00231B5E" w:rsidRPr="00194FC6">
              <w:rPr>
                <w:rFonts w:ascii="標楷體" w:eastAsia="標楷體" w:hAnsi="標楷體" w:cs="細明體" w:hint="eastAsia"/>
                <w:kern w:val="0"/>
                <w:szCs w:val="24"/>
              </w:rPr>
              <w:t>券</w:t>
            </w:r>
            <w:proofErr w:type="gramEnd"/>
            <w:r w:rsidR="00231B5E" w:rsidRPr="00194FC6">
              <w:rPr>
                <w:rFonts w:ascii="標楷體" w:eastAsia="標楷體" w:hAnsi="標楷體" w:cs="細明體" w:hint="eastAsia"/>
                <w:kern w:val="0"/>
                <w:szCs w:val="24"/>
              </w:rPr>
              <w:t>相抵交易</w:t>
            </w:r>
            <w:r w:rsidR="00EB7905">
              <w:rPr>
                <w:rFonts w:ascii="標楷體" w:eastAsia="標楷體" w:hAnsi="標楷體" w:cs="細明體" w:hint="eastAsia"/>
                <w:kern w:val="0"/>
                <w:szCs w:val="24"/>
              </w:rPr>
              <w:t>資格</w:t>
            </w:r>
            <w:r w:rsidR="00231B5E" w:rsidRPr="00194FC6">
              <w:rPr>
                <w:rFonts w:ascii="標楷體" w:eastAsia="標楷體" w:hAnsi="標楷體" w:cs="細明體" w:hint="eastAsia"/>
                <w:kern w:val="0"/>
                <w:szCs w:val="24"/>
              </w:rPr>
              <w:t>者，證券商應合併計算</w:t>
            </w:r>
            <w:r w:rsidR="0051735D" w:rsidRPr="00194FC6">
              <w:rPr>
                <w:rFonts w:ascii="標楷體" w:eastAsia="標楷體" w:hAnsi="標楷體" w:cs="細明體" w:hint="eastAsia"/>
                <w:kern w:val="0"/>
                <w:szCs w:val="24"/>
              </w:rPr>
              <w:t>其</w:t>
            </w:r>
            <w:r w:rsidR="00231B5E" w:rsidRPr="00194FC6">
              <w:rPr>
                <w:rFonts w:ascii="標楷體" w:eastAsia="標楷體" w:hAnsi="標楷體" w:cs="細明體" w:hint="eastAsia"/>
                <w:kern w:val="0"/>
                <w:szCs w:val="24"/>
              </w:rPr>
              <w:t>損益情形，並評估</w:t>
            </w:r>
            <w:r w:rsidR="00231B5E" w:rsidRPr="00194FC6">
              <w:rPr>
                <w:rFonts w:ascii="標楷體" w:eastAsia="標楷體" w:hAnsi="標楷體" w:cs="細明體"/>
                <w:kern w:val="0"/>
                <w:szCs w:val="24"/>
              </w:rPr>
              <w:t>增減其</w:t>
            </w:r>
            <w:r w:rsidR="00231B5E" w:rsidRPr="00194FC6">
              <w:rPr>
                <w:rFonts w:ascii="標楷體" w:eastAsia="標楷體" w:hAnsi="標楷體" w:cs="細明體" w:hint="eastAsia"/>
                <w:kern w:val="0"/>
                <w:szCs w:val="24"/>
              </w:rPr>
              <w:t>額度。</w:t>
            </w:r>
          </w:p>
        </w:tc>
      </w:tr>
      <w:tr w:rsidR="00725DB4" w:rsidRPr="00194FC6" w:rsidTr="003A6FA4">
        <w:tc>
          <w:tcPr>
            <w:tcW w:w="2787" w:type="dxa"/>
          </w:tcPr>
          <w:p w:rsidR="00D61E7D" w:rsidRDefault="00704554">
            <w:pPr>
              <w:pStyle w:val="HTML"/>
              <w:jc w:val="both"/>
              <w:rPr>
                <w:rFonts w:ascii="標楷體" w:eastAsia="標楷體" w:hAnsi="標楷體"/>
                <w:color w:val="auto"/>
              </w:rPr>
            </w:pPr>
            <w:r w:rsidRPr="00194FC6">
              <w:rPr>
                <w:rFonts w:ascii="標楷體" w:eastAsia="標楷體" w:hAnsi="標楷體" w:hint="eastAsia"/>
                <w:color w:val="auto"/>
              </w:rPr>
              <w:lastRenderedPageBreak/>
              <w:t>五</w:t>
            </w:r>
            <w:r w:rsidR="006D4CCC" w:rsidRPr="00194FC6">
              <w:rPr>
                <w:rFonts w:ascii="標楷體" w:eastAsia="標楷體" w:hAnsi="標楷體" w:hint="eastAsia"/>
                <w:color w:val="auto"/>
              </w:rPr>
              <w:t>、</w:t>
            </w:r>
            <w:r w:rsidR="00231B5E" w:rsidRPr="00194FC6">
              <w:rPr>
                <w:rFonts w:ascii="標楷體" w:eastAsia="標楷體" w:hAnsi="標楷體"/>
                <w:color w:val="auto"/>
              </w:rPr>
              <w:t>委託人前月份</w:t>
            </w:r>
            <w:r w:rsidR="00231B5E" w:rsidRPr="00194FC6">
              <w:rPr>
                <w:rFonts w:ascii="標楷體" w:eastAsia="標楷體" w:hAnsi="標楷體" w:hint="eastAsia"/>
                <w:color w:val="auto"/>
              </w:rPr>
              <w:t>資</w:t>
            </w:r>
            <w:proofErr w:type="gramStart"/>
            <w:r w:rsidR="00231B5E" w:rsidRPr="00194FC6">
              <w:rPr>
                <w:rFonts w:ascii="標楷體" w:eastAsia="標楷體" w:hAnsi="標楷體" w:hint="eastAsia"/>
                <w:color w:val="auto"/>
              </w:rPr>
              <w:t>券</w:t>
            </w:r>
            <w:proofErr w:type="gramEnd"/>
            <w:r w:rsidR="00231B5E" w:rsidRPr="00194FC6">
              <w:rPr>
                <w:rFonts w:ascii="標楷體" w:eastAsia="標楷體" w:hAnsi="標楷體" w:hint="eastAsia"/>
                <w:color w:val="auto"/>
              </w:rPr>
              <w:t>相抵交割交易</w:t>
            </w:r>
            <w:r w:rsidR="00231B5E" w:rsidRPr="00194FC6">
              <w:rPr>
                <w:rFonts w:ascii="標楷體" w:eastAsia="標楷體" w:hAnsi="標楷體"/>
                <w:color w:val="auto"/>
              </w:rPr>
              <w:t>累計虧損</w:t>
            </w:r>
            <w:r w:rsidR="00231B5E" w:rsidRPr="00194FC6">
              <w:rPr>
                <w:rFonts w:ascii="標楷體" w:eastAsia="標楷體" w:hAnsi="標楷體" w:hint="eastAsia"/>
                <w:color w:val="auto"/>
              </w:rPr>
              <w:t>，</w:t>
            </w:r>
            <w:r w:rsidR="00231B5E" w:rsidRPr="00194FC6">
              <w:rPr>
                <w:rFonts w:ascii="標楷體" w:eastAsia="標楷體" w:hAnsi="標楷體"/>
                <w:color w:val="auto"/>
              </w:rPr>
              <w:t>達其單日買賣額度或</w:t>
            </w:r>
            <w:r w:rsidR="00231B5E" w:rsidRPr="00194FC6">
              <w:rPr>
                <w:rFonts w:ascii="標楷體" w:eastAsia="標楷體" w:hAnsi="標楷體" w:hint="eastAsia"/>
                <w:color w:val="auto"/>
              </w:rPr>
              <w:t>資</w:t>
            </w:r>
            <w:proofErr w:type="gramStart"/>
            <w:r w:rsidR="00231B5E" w:rsidRPr="00194FC6">
              <w:rPr>
                <w:rFonts w:ascii="標楷體" w:eastAsia="標楷體" w:hAnsi="標楷體" w:hint="eastAsia"/>
                <w:color w:val="auto"/>
              </w:rPr>
              <w:t>券</w:t>
            </w:r>
            <w:proofErr w:type="gramEnd"/>
            <w:r w:rsidR="00231B5E" w:rsidRPr="00194FC6">
              <w:rPr>
                <w:rFonts w:ascii="標楷體" w:eastAsia="標楷體" w:hAnsi="標楷體" w:hint="eastAsia"/>
                <w:color w:val="auto"/>
              </w:rPr>
              <w:t>相抵交易額度之</w:t>
            </w:r>
            <w:r w:rsidR="00231B5E" w:rsidRPr="00194FC6">
              <w:rPr>
                <w:rFonts w:ascii="標楷體" w:eastAsia="標楷體" w:hAnsi="標楷體"/>
                <w:color w:val="auto"/>
              </w:rPr>
              <w:t>二分之一時，</w:t>
            </w:r>
            <w:r w:rsidR="008D7005" w:rsidRPr="00194FC6">
              <w:rPr>
                <w:rFonts w:ascii="標楷體" w:eastAsia="標楷體" w:hAnsi="標楷體" w:hint="eastAsia"/>
                <w:color w:val="auto"/>
              </w:rPr>
              <w:t>證券商</w:t>
            </w:r>
            <w:r w:rsidR="00231B5E" w:rsidRPr="00194FC6">
              <w:rPr>
                <w:rFonts w:ascii="標楷體" w:eastAsia="標楷體" w:hAnsi="標楷體"/>
                <w:color w:val="auto"/>
              </w:rPr>
              <w:t>應暫停其從事</w:t>
            </w:r>
            <w:r w:rsidR="00231B5E" w:rsidRPr="00194FC6">
              <w:rPr>
                <w:rFonts w:ascii="標楷體" w:eastAsia="標楷體" w:hAnsi="標楷體" w:hint="eastAsia"/>
                <w:color w:val="auto"/>
              </w:rPr>
              <w:t>資</w:t>
            </w:r>
            <w:proofErr w:type="gramStart"/>
            <w:r w:rsidR="00231B5E" w:rsidRPr="00194FC6">
              <w:rPr>
                <w:rFonts w:ascii="標楷體" w:eastAsia="標楷體" w:hAnsi="標楷體" w:hint="eastAsia"/>
                <w:color w:val="auto"/>
              </w:rPr>
              <w:t>券</w:t>
            </w:r>
            <w:proofErr w:type="gramEnd"/>
            <w:r w:rsidR="00231B5E" w:rsidRPr="00194FC6">
              <w:rPr>
                <w:rFonts w:ascii="標楷體" w:eastAsia="標楷體" w:hAnsi="標楷體" w:hint="eastAsia"/>
                <w:color w:val="auto"/>
              </w:rPr>
              <w:t>相抵交割交易。</w:t>
            </w:r>
            <w:r w:rsidR="00125775" w:rsidRPr="00194FC6">
              <w:rPr>
                <w:rFonts w:ascii="標楷體" w:eastAsia="標楷體" w:hAnsi="標楷體" w:hint="eastAsia"/>
                <w:color w:val="auto"/>
              </w:rPr>
              <w:t>委託人</w:t>
            </w:r>
            <w:r w:rsidR="00231B5E" w:rsidRPr="00194FC6">
              <w:rPr>
                <w:rFonts w:ascii="標楷體" w:eastAsia="標楷體" w:hAnsi="標楷體" w:hint="eastAsia"/>
                <w:color w:val="auto"/>
              </w:rPr>
              <w:t>同時</w:t>
            </w:r>
            <w:r w:rsidR="00B56AF1">
              <w:rPr>
                <w:rFonts w:ascii="標楷體" w:eastAsia="標楷體" w:hAnsi="標楷體" w:hint="eastAsia"/>
                <w:color w:val="auto"/>
              </w:rPr>
              <w:t>具備</w:t>
            </w:r>
            <w:r w:rsidR="00231B5E" w:rsidRPr="00194FC6">
              <w:rPr>
                <w:rFonts w:ascii="標楷體" w:eastAsia="標楷體" w:hAnsi="標楷體" w:hint="eastAsia"/>
                <w:color w:val="auto"/>
              </w:rPr>
              <w:t>從事</w:t>
            </w:r>
            <w:r w:rsidR="00E40DCC" w:rsidRPr="00194FC6">
              <w:rPr>
                <w:rFonts w:ascii="標楷體" w:eastAsia="標楷體" w:hAnsi="標楷體" w:hint="eastAsia"/>
                <w:color w:val="auto"/>
              </w:rPr>
              <w:t>有價證券</w:t>
            </w:r>
            <w:r w:rsidR="00231B5E" w:rsidRPr="00194FC6">
              <w:rPr>
                <w:rFonts w:ascii="標楷體" w:eastAsia="標楷體" w:hAnsi="標楷體"/>
                <w:color w:val="auto"/>
              </w:rPr>
              <w:t>當日沖銷</w:t>
            </w:r>
            <w:r w:rsidR="00231B5E" w:rsidRPr="00194FC6">
              <w:rPr>
                <w:rFonts w:ascii="標楷體" w:eastAsia="標楷體" w:hAnsi="標楷體" w:hint="eastAsia"/>
                <w:color w:val="auto"/>
              </w:rPr>
              <w:t>交易</w:t>
            </w:r>
            <w:r w:rsidR="00B56AF1">
              <w:rPr>
                <w:rFonts w:ascii="標楷體" w:eastAsia="標楷體" w:hAnsi="標楷體" w:hint="eastAsia"/>
                <w:color w:val="auto"/>
              </w:rPr>
              <w:t>資格</w:t>
            </w:r>
            <w:r w:rsidR="00231B5E" w:rsidRPr="00194FC6">
              <w:rPr>
                <w:rFonts w:ascii="標楷體" w:eastAsia="標楷體" w:hAnsi="標楷體" w:hint="eastAsia"/>
                <w:color w:val="auto"/>
              </w:rPr>
              <w:t>者，前月份之資</w:t>
            </w:r>
            <w:proofErr w:type="gramStart"/>
            <w:r w:rsidR="00231B5E" w:rsidRPr="00194FC6">
              <w:rPr>
                <w:rFonts w:ascii="標楷體" w:eastAsia="標楷體" w:hAnsi="標楷體" w:hint="eastAsia"/>
                <w:color w:val="auto"/>
              </w:rPr>
              <w:t>券</w:t>
            </w:r>
            <w:proofErr w:type="gramEnd"/>
            <w:r w:rsidR="00231B5E" w:rsidRPr="00194FC6">
              <w:rPr>
                <w:rFonts w:ascii="標楷體" w:eastAsia="標楷體" w:hAnsi="標楷體" w:hint="eastAsia"/>
                <w:color w:val="auto"/>
              </w:rPr>
              <w:t>相抵交割交易損益應與當日沖銷交易損益合併計算，兩者合計之</w:t>
            </w:r>
            <w:r w:rsidR="00231B5E" w:rsidRPr="00194FC6">
              <w:rPr>
                <w:rFonts w:ascii="標楷體" w:eastAsia="標楷體" w:hAnsi="標楷體"/>
                <w:color w:val="auto"/>
              </w:rPr>
              <w:t>累計虧損達其單日買賣額度或當日沖銷</w:t>
            </w:r>
            <w:r w:rsidR="00231B5E" w:rsidRPr="00194FC6">
              <w:rPr>
                <w:rFonts w:ascii="標楷體" w:eastAsia="標楷體" w:hAnsi="標楷體" w:hint="eastAsia"/>
                <w:color w:val="auto"/>
              </w:rPr>
              <w:t>額度之</w:t>
            </w:r>
            <w:r w:rsidR="00231B5E" w:rsidRPr="00194FC6">
              <w:rPr>
                <w:rFonts w:ascii="標楷體" w:eastAsia="標楷體" w:hAnsi="標楷體"/>
                <w:color w:val="auto"/>
              </w:rPr>
              <w:t>二分之一時，應暫停其從事</w:t>
            </w:r>
            <w:r w:rsidR="00231B5E" w:rsidRPr="00194FC6">
              <w:rPr>
                <w:rFonts w:ascii="標楷體" w:eastAsia="標楷體" w:hAnsi="標楷體" w:hint="eastAsia"/>
                <w:color w:val="auto"/>
              </w:rPr>
              <w:t>資</w:t>
            </w:r>
            <w:proofErr w:type="gramStart"/>
            <w:r w:rsidR="00231B5E" w:rsidRPr="00194FC6">
              <w:rPr>
                <w:rFonts w:ascii="標楷體" w:eastAsia="標楷體" w:hAnsi="標楷體" w:hint="eastAsia"/>
                <w:color w:val="auto"/>
              </w:rPr>
              <w:t>券</w:t>
            </w:r>
            <w:proofErr w:type="gramEnd"/>
            <w:r w:rsidR="00231B5E" w:rsidRPr="00194FC6">
              <w:rPr>
                <w:rFonts w:ascii="標楷體" w:eastAsia="標楷體" w:hAnsi="標楷體" w:hint="eastAsia"/>
                <w:color w:val="auto"/>
              </w:rPr>
              <w:t>相抵交割交易及</w:t>
            </w:r>
            <w:r w:rsidR="00231B5E" w:rsidRPr="00194FC6">
              <w:rPr>
                <w:rFonts w:ascii="標楷體" w:eastAsia="標楷體" w:hAnsi="標楷體"/>
                <w:color w:val="auto"/>
              </w:rPr>
              <w:t>當日沖銷交易。除專業機構投資人外，證券商</w:t>
            </w:r>
            <w:r w:rsidR="00773179">
              <w:rPr>
                <w:rFonts w:ascii="標楷體" w:eastAsia="標楷體" w:hAnsi="標楷體" w:hint="eastAsia"/>
                <w:color w:val="auto"/>
              </w:rPr>
              <w:t>應</w:t>
            </w:r>
            <w:r w:rsidR="00231B5E" w:rsidRPr="00194FC6">
              <w:rPr>
                <w:rFonts w:ascii="標楷體" w:eastAsia="標楷體" w:hAnsi="標楷體"/>
                <w:color w:val="auto"/>
              </w:rPr>
              <w:t>於委託人提供適當財力證明後，重新評估其單日買賣額度</w:t>
            </w:r>
            <w:r w:rsidR="00773179">
              <w:rPr>
                <w:rFonts w:ascii="標楷體" w:eastAsia="標楷體" w:hAnsi="標楷體"/>
                <w:color w:val="auto"/>
              </w:rPr>
              <w:t>、</w:t>
            </w:r>
            <w:r w:rsidR="00231B5E" w:rsidRPr="00194FC6">
              <w:rPr>
                <w:rFonts w:ascii="標楷體" w:eastAsia="標楷體" w:hAnsi="標楷體" w:hint="eastAsia"/>
                <w:color w:val="auto"/>
              </w:rPr>
              <w:t>資</w:t>
            </w:r>
            <w:proofErr w:type="gramStart"/>
            <w:r w:rsidR="00231B5E" w:rsidRPr="00194FC6">
              <w:rPr>
                <w:rFonts w:ascii="標楷體" w:eastAsia="標楷體" w:hAnsi="標楷體" w:hint="eastAsia"/>
                <w:color w:val="auto"/>
              </w:rPr>
              <w:t>券</w:t>
            </w:r>
            <w:proofErr w:type="gramEnd"/>
            <w:r w:rsidR="00231B5E" w:rsidRPr="00194FC6">
              <w:rPr>
                <w:rFonts w:ascii="標楷體" w:eastAsia="標楷體" w:hAnsi="標楷體" w:hint="eastAsia"/>
                <w:color w:val="auto"/>
              </w:rPr>
              <w:t>相抵交易額度或</w:t>
            </w:r>
            <w:r w:rsidR="00231B5E" w:rsidRPr="00194FC6">
              <w:rPr>
                <w:rFonts w:ascii="標楷體" w:eastAsia="標楷體" w:hAnsi="標楷體"/>
                <w:color w:val="auto"/>
              </w:rPr>
              <w:t>當日沖銷</w:t>
            </w:r>
            <w:r w:rsidR="00231B5E" w:rsidRPr="00194FC6">
              <w:rPr>
                <w:rFonts w:ascii="標楷體" w:eastAsia="標楷體" w:hAnsi="標楷體" w:hint="eastAsia"/>
                <w:color w:val="auto"/>
              </w:rPr>
              <w:t>額度</w:t>
            </w:r>
            <w:r w:rsidR="00231B5E" w:rsidRPr="00194FC6">
              <w:rPr>
                <w:rFonts w:ascii="標楷體" w:eastAsia="標楷體" w:hAnsi="標楷體"/>
                <w:color w:val="auto"/>
              </w:rPr>
              <w:t>。</w:t>
            </w:r>
          </w:p>
        </w:tc>
        <w:tc>
          <w:tcPr>
            <w:tcW w:w="2787" w:type="dxa"/>
          </w:tcPr>
          <w:p w:rsidR="00725DB4" w:rsidRPr="00194FC6" w:rsidRDefault="00725DB4" w:rsidP="001C24E2">
            <w:pPr>
              <w:pStyle w:val="HTML"/>
              <w:jc w:val="both"/>
              <w:rPr>
                <w:color w:val="auto"/>
              </w:rPr>
            </w:pPr>
          </w:p>
        </w:tc>
        <w:tc>
          <w:tcPr>
            <w:tcW w:w="2788" w:type="dxa"/>
          </w:tcPr>
          <w:p w:rsidR="009E62D1" w:rsidRPr="00194FC6" w:rsidRDefault="00053483" w:rsidP="009E62D1">
            <w:pPr>
              <w:ind w:left="360" w:hangingChars="150" w:hanging="360"/>
              <w:jc w:val="both"/>
              <w:rPr>
                <w:rFonts w:ascii="標楷體" w:eastAsia="標楷體" w:hAnsi="標楷體" w:cs="細明體"/>
                <w:kern w:val="0"/>
                <w:szCs w:val="24"/>
              </w:rPr>
            </w:pPr>
            <w:r w:rsidRPr="00194FC6">
              <w:rPr>
                <w:rFonts w:ascii="標楷體" w:eastAsia="標楷體" w:hAnsi="標楷體" w:cs="細明體" w:hint="eastAsia"/>
                <w:kern w:val="0"/>
                <w:szCs w:val="24"/>
              </w:rPr>
              <w:t>一、</w:t>
            </w:r>
            <w:r w:rsidR="009E62D1" w:rsidRPr="00194FC6">
              <w:rPr>
                <w:rFonts w:ascii="標楷體" w:eastAsia="標楷體" w:hAnsi="標楷體" w:cs="細明體" w:hint="eastAsia"/>
                <w:kern w:val="0"/>
                <w:szCs w:val="24"/>
                <w:u w:val="single"/>
              </w:rPr>
              <w:t>本</w:t>
            </w:r>
            <w:r w:rsidR="00E35196" w:rsidRPr="00194FC6">
              <w:rPr>
                <w:rFonts w:ascii="標楷體" w:eastAsia="標楷體" w:hAnsi="標楷體" w:cs="細明體" w:hint="eastAsia"/>
                <w:kern w:val="0"/>
                <w:szCs w:val="24"/>
                <w:u w:val="single"/>
              </w:rPr>
              <w:t>條</w:t>
            </w:r>
            <w:r w:rsidR="009E62D1" w:rsidRPr="00194FC6">
              <w:rPr>
                <w:rFonts w:ascii="標楷體" w:eastAsia="標楷體" w:hAnsi="標楷體" w:cs="細明體" w:hint="eastAsia"/>
                <w:kern w:val="0"/>
                <w:szCs w:val="24"/>
                <w:u w:val="single"/>
              </w:rPr>
              <w:t>新增。</w:t>
            </w:r>
          </w:p>
          <w:p w:rsidR="00231B5E" w:rsidRPr="00194FC6" w:rsidRDefault="009E62D1" w:rsidP="00053483">
            <w:pPr>
              <w:ind w:left="521" w:hangingChars="217" w:hanging="521"/>
              <w:jc w:val="both"/>
              <w:rPr>
                <w:rFonts w:ascii="標楷體" w:eastAsia="標楷體" w:hAnsi="標楷體" w:cs="細明體"/>
                <w:kern w:val="0"/>
                <w:szCs w:val="24"/>
              </w:rPr>
            </w:pPr>
            <w:r w:rsidRPr="00194FC6">
              <w:rPr>
                <w:rFonts w:ascii="標楷體" w:eastAsia="標楷體" w:hAnsi="標楷體" w:cs="細明體" w:hint="eastAsia"/>
                <w:kern w:val="0"/>
                <w:szCs w:val="24"/>
              </w:rPr>
              <w:t>二、</w:t>
            </w:r>
            <w:r w:rsidR="00231B5E" w:rsidRPr="00194FC6">
              <w:rPr>
                <w:rFonts w:ascii="標楷體" w:eastAsia="標楷體" w:hAnsi="標楷體" w:cs="細明體" w:hint="eastAsia"/>
                <w:kern w:val="0"/>
                <w:szCs w:val="24"/>
              </w:rPr>
              <w:t>參酌「有價證券當日</w:t>
            </w:r>
            <w:r w:rsidR="00053483" w:rsidRPr="00194FC6">
              <w:rPr>
                <w:rFonts w:ascii="標楷體" w:eastAsia="標楷體" w:hAnsi="標楷體" w:cs="細明體" w:hint="eastAsia"/>
                <w:kern w:val="0"/>
                <w:szCs w:val="24"/>
              </w:rPr>
              <w:t xml:space="preserve">     </w:t>
            </w:r>
            <w:r w:rsidR="00231B5E" w:rsidRPr="00194FC6">
              <w:rPr>
                <w:rFonts w:ascii="標楷體" w:eastAsia="標楷體" w:hAnsi="標楷體" w:cs="細明體" w:hint="eastAsia"/>
                <w:kern w:val="0"/>
                <w:szCs w:val="24"/>
              </w:rPr>
              <w:t>沖銷交易作業辦法」，增訂證券商風險控管機制。但考量資</w:t>
            </w:r>
            <w:proofErr w:type="gramStart"/>
            <w:r w:rsidR="00231B5E" w:rsidRPr="00194FC6">
              <w:rPr>
                <w:rFonts w:ascii="標楷體" w:eastAsia="標楷體" w:hAnsi="標楷體" w:cs="細明體" w:hint="eastAsia"/>
                <w:kern w:val="0"/>
                <w:szCs w:val="24"/>
              </w:rPr>
              <w:t>券</w:t>
            </w:r>
            <w:proofErr w:type="gramEnd"/>
            <w:r w:rsidR="00231B5E" w:rsidRPr="00194FC6">
              <w:rPr>
                <w:rFonts w:ascii="標楷體" w:eastAsia="標楷體" w:hAnsi="標楷體" w:cs="細明體" w:hint="eastAsia"/>
                <w:kern w:val="0"/>
                <w:szCs w:val="24"/>
              </w:rPr>
              <w:t>相抵交易及現股當日沖銷交易性質相仿，兩者風險應合併控管，</w:t>
            </w:r>
            <w:proofErr w:type="gramStart"/>
            <w:r w:rsidR="00231B5E" w:rsidRPr="00194FC6">
              <w:rPr>
                <w:rFonts w:ascii="標楷體" w:eastAsia="標楷體" w:hAnsi="標楷體" w:cs="細明體" w:hint="eastAsia"/>
                <w:kern w:val="0"/>
                <w:szCs w:val="24"/>
              </w:rPr>
              <w:t>爰</w:t>
            </w:r>
            <w:proofErr w:type="gramEnd"/>
            <w:r w:rsidR="00231B5E" w:rsidRPr="00194FC6">
              <w:rPr>
                <w:rFonts w:ascii="標楷體" w:eastAsia="標楷體" w:hAnsi="標楷體" w:cs="細明體" w:hint="eastAsia"/>
                <w:kern w:val="0"/>
                <w:szCs w:val="24"/>
              </w:rPr>
              <w:t>規範</w:t>
            </w:r>
            <w:r w:rsidR="002216E5" w:rsidRPr="00194FC6">
              <w:rPr>
                <w:rFonts w:ascii="標楷體" w:eastAsia="標楷體" w:hAnsi="標楷體" w:cs="細明體" w:hint="eastAsia"/>
                <w:kern w:val="0"/>
                <w:szCs w:val="24"/>
              </w:rPr>
              <w:t>委託人</w:t>
            </w:r>
            <w:r w:rsidR="00231B5E" w:rsidRPr="00194FC6">
              <w:rPr>
                <w:rFonts w:ascii="標楷體" w:eastAsia="標楷體" w:hAnsi="標楷體" w:cs="細明體" w:hint="eastAsia"/>
                <w:kern w:val="0"/>
                <w:szCs w:val="24"/>
              </w:rPr>
              <w:t>同時</w:t>
            </w:r>
            <w:r w:rsidR="00F06633">
              <w:rPr>
                <w:rFonts w:ascii="標楷體" w:eastAsia="標楷體" w:hAnsi="標楷體" w:cs="細明體" w:hint="eastAsia"/>
                <w:kern w:val="0"/>
                <w:szCs w:val="24"/>
              </w:rPr>
              <w:t>具備</w:t>
            </w:r>
            <w:r w:rsidR="00231B5E" w:rsidRPr="00194FC6">
              <w:rPr>
                <w:rFonts w:ascii="標楷體" w:eastAsia="標楷體" w:hAnsi="標楷體" w:cs="細明體" w:hint="eastAsia"/>
                <w:kern w:val="0"/>
                <w:szCs w:val="24"/>
              </w:rPr>
              <w:t>從事現股當日沖銷交易及資</w:t>
            </w:r>
            <w:proofErr w:type="gramStart"/>
            <w:r w:rsidR="00231B5E" w:rsidRPr="00194FC6">
              <w:rPr>
                <w:rFonts w:ascii="標楷體" w:eastAsia="標楷體" w:hAnsi="標楷體" w:cs="細明體" w:hint="eastAsia"/>
                <w:kern w:val="0"/>
                <w:szCs w:val="24"/>
              </w:rPr>
              <w:t>券</w:t>
            </w:r>
            <w:proofErr w:type="gramEnd"/>
            <w:r w:rsidR="00231B5E" w:rsidRPr="00194FC6">
              <w:rPr>
                <w:rFonts w:ascii="標楷體" w:eastAsia="標楷體" w:hAnsi="標楷體" w:cs="細明體" w:hint="eastAsia"/>
                <w:kern w:val="0"/>
                <w:szCs w:val="24"/>
              </w:rPr>
              <w:t>相抵交易</w:t>
            </w:r>
            <w:r w:rsidR="00F06633">
              <w:rPr>
                <w:rFonts w:ascii="標楷體" w:eastAsia="標楷體" w:hAnsi="標楷體" w:cs="細明體" w:hint="eastAsia"/>
                <w:kern w:val="0"/>
                <w:szCs w:val="24"/>
              </w:rPr>
              <w:t>資格</w:t>
            </w:r>
            <w:r w:rsidR="00231B5E" w:rsidRPr="00194FC6">
              <w:rPr>
                <w:rFonts w:ascii="標楷體" w:eastAsia="標楷體" w:hAnsi="標楷體" w:cs="細明體" w:hint="eastAsia"/>
                <w:kern w:val="0"/>
                <w:szCs w:val="24"/>
              </w:rPr>
              <w:t>者，如合併虧損達一定額度時，應同時暫停當日沖銷交易及資</w:t>
            </w:r>
            <w:proofErr w:type="gramStart"/>
            <w:r w:rsidR="00231B5E" w:rsidRPr="00194FC6">
              <w:rPr>
                <w:rFonts w:ascii="標楷體" w:eastAsia="標楷體" w:hAnsi="標楷體" w:cs="細明體" w:hint="eastAsia"/>
                <w:kern w:val="0"/>
                <w:szCs w:val="24"/>
              </w:rPr>
              <w:t>券</w:t>
            </w:r>
            <w:proofErr w:type="gramEnd"/>
            <w:r w:rsidR="00231B5E" w:rsidRPr="00194FC6">
              <w:rPr>
                <w:rFonts w:ascii="標楷體" w:eastAsia="標楷體" w:hAnsi="標楷體" w:cs="細明體" w:hint="eastAsia"/>
                <w:kern w:val="0"/>
                <w:szCs w:val="24"/>
              </w:rPr>
              <w:t>相抵交易。</w:t>
            </w:r>
          </w:p>
          <w:p w:rsidR="00725DB4" w:rsidRPr="00194FC6" w:rsidRDefault="00725DB4" w:rsidP="00053483">
            <w:pPr>
              <w:ind w:left="521" w:hangingChars="217" w:hanging="521"/>
              <w:jc w:val="both"/>
            </w:pPr>
          </w:p>
        </w:tc>
      </w:tr>
      <w:tr w:rsidR="00725DB4" w:rsidRPr="00194FC6" w:rsidTr="00BB5B1C">
        <w:trPr>
          <w:trHeight w:val="2352"/>
        </w:trPr>
        <w:tc>
          <w:tcPr>
            <w:tcW w:w="2787" w:type="dxa"/>
          </w:tcPr>
          <w:p w:rsidR="00725DB4" w:rsidRPr="00194FC6" w:rsidRDefault="00704554" w:rsidP="00231B5E">
            <w:pPr>
              <w:pStyle w:val="HTML"/>
              <w:jc w:val="both"/>
              <w:rPr>
                <w:rFonts w:ascii="標楷體" w:eastAsia="標楷體" w:hAnsi="標楷體"/>
                <w:color w:val="auto"/>
              </w:rPr>
            </w:pPr>
            <w:r w:rsidRPr="00194FC6">
              <w:rPr>
                <w:rFonts w:ascii="標楷體" w:eastAsia="標楷體" w:hAnsi="標楷體" w:hint="eastAsia"/>
                <w:color w:val="auto"/>
                <w:u w:val="single"/>
              </w:rPr>
              <w:lastRenderedPageBreak/>
              <w:t>六</w:t>
            </w:r>
            <w:r w:rsidR="006D4CCC" w:rsidRPr="00194FC6">
              <w:rPr>
                <w:rFonts w:ascii="標楷體" w:eastAsia="標楷體" w:hAnsi="標楷體" w:hint="eastAsia"/>
                <w:color w:val="auto"/>
              </w:rPr>
              <w:t>、</w:t>
            </w:r>
            <w:r w:rsidR="00A96F88" w:rsidRPr="00194FC6">
              <w:rPr>
                <w:rFonts w:ascii="標楷體" w:eastAsia="標楷體" w:hAnsi="標楷體"/>
                <w:color w:val="auto"/>
              </w:rPr>
              <w:t>有價證券經證券交易所或櫃檯中心公告或證券商依</w:t>
            </w:r>
            <w:proofErr w:type="gramStart"/>
            <w:r w:rsidR="00A96F88" w:rsidRPr="00194FC6">
              <w:rPr>
                <w:rFonts w:ascii="標楷體" w:eastAsia="標楷體" w:hAnsi="標楷體"/>
                <w:color w:val="auto"/>
              </w:rPr>
              <w:t>規</w:t>
            </w:r>
            <w:proofErr w:type="gramEnd"/>
            <w:r w:rsidR="00A96F88" w:rsidRPr="00194FC6">
              <w:rPr>
                <w:rFonts w:ascii="標楷體" w:eastAsia="標楷體" w:hAnsi="標楷體"/>
                <w:color w:val="auto"/>
              </w:rPr>
              <w:t>暫停融資買進或（且）融券賣出</w:t>
            </w:r>
            <w:proofErr w:type="gramStart"/>
            <w:r w:rsidR="00A96F88" w:rsidRPr="00194FC6">
              <w:rPr>
                <w:rFonts w:ascii="標楷體" w:eastAsia="標楷體" w:hAnsi="標楷體"/>
                <w:color w:val="auto"/>
              </w:rPr>
              <w:t>期間，資券</w:t>
            </w:r>
            <w:proofErr w:type="gramEnd"/>
            <w:r w:rsidR="00A96F88" w:rsidRPr="00194FC6">
              <w:rPr>
                <w:rFonts w:ascii="標楷體" w:eastAsia="標楷體" w:hAnsi="標楷體"/>
                <w:color w:val="auto"/>
              </w:rPr>
              <w:t>相抵之交易當然停止。</w:t>
            </w:r>
          </w:p>
        </w:tc>
        <w:tc>
          <w:tcPr>
            <w:tcW w:w="2787" w:type="dxa"/>
          </w:tcPr>
          <w:p w:rsidR="00725DB4" w:rsidRPr="00194FC6" w:rsidRDefault="00E54AD0" w:rsidP="00003B52">
            <w:pPr>
              <w:pStyle w:val="HTML"/>
              <w:jc w:val="both"/>
              <w:rPr>
                <w:color w:val="auto"/>
              </w:rPr>
            </w:pPr>
            <w:r w:rsidRPr="00194FC6">
              <w:rPr>
                <w:rFonts w:ascii="標楷體" w:eastAsia="標楷體" w:hAnsi="標楷體"/>
                <w:color w:val="auto"/>
              </w:rPr>
              <w:t>五、有價證券經證券交易所或櫃檯中心公告或證券商依</w:t>
            </w:r>
            <w:proofErr w:type="gramStart"/>
            <w:r w:rsidRPr="00194FC6">
              <w:rPr>
                <w:rFonts w:ascii="標楷體" w:eastAsia="標楷體" w:hAnsi="標楷體"/>
                <w:color w:val="auto"/>
              </w:rPr>
              <w:t>規</w:t>
            </w:r>
            <w:proofErr w:type="gramEnd"/>
            <w:r w:rsidRPr="00194FC6">
              <w:rPr>
                <w:rFonts w:ascii="標楷體" w:eastAsia="標楷體" w:hAnsi="標楷體"/>
                <w:color w:val="auto"/>
              </w:rPr>
              <w:t>暫停融資買進或（且）融券賣出</w:t>
            </w:r>
            <w:proofErr w:type="gramStart"/>
            <w:r w:rsidRPr="00194FC6">
              <w:rPr>
                <w:rFonts w:ascii="標楷體" w:eastAsia="標楷體" w:hAnsi="標楷體"/>
                <w:color w:val="auto"/>
              </w:rPr>
              <w:t>期間，資券</w:t>
            </w:r>
            <w:proofErr w:type="gramEnd"/>
            <w:r w:rsidRPr="00194FC6">
              <w:rPr>
                <w:rFonts w:ascii="標楷體" w:eastAsia="標楷體" w:hAnsi="標楷體"/>
                <w:color w:val="auto"/>
              </w:rPr>
              <w:t>相抵之交易當然停止。</w:t>
            </w:r>
          </w:p>
        </w:tc>
        <w:tc>
          <w:tcPr>
            <w:tcW w:w="2788" w:type="dxa"/>
          </w:tcPr>
          <w:p w:rsidR="00725DB4" w:rsidRPr="00194FC6" w:rsidRDefault="000F697F" w:rsidP="00E35196">
            <w:pPr>
              <w:jc w:val="both"/>
            </w:pPr>
            <w:r w:rsidRPr="00194FC6">
              <w:rPr>
                <w:rFonts w:ascii="標楷體" w:eastAsia="標楷體" w:hAnsi="標楷體" w:cs="細明體" w:hint="eastAsia"/>
                <w:kern w:val="0"/>
                <w:szCs w:val="24"/>
              </w:rPr>
              <w:t>條次變更。</w:t>
            </w:r>
          </w:p>
        </w:tc>
      </w:tr>
      <w:tr w:rsidR="00BB5B1C" w:rsidRPr="00194FC6" w:rsidTr="00B44CEF">
        <w:trPr>
          <w:trHeight w:val="2393"/>
        </w:trPr>
        <w:tc>
          <w:tcPr>
            <w:tcW w:w="2787" w:type="dxa"/>
          </w:tcPr>
          <w:p w:rsidR="00BB5B1C" w:rsidRPr="00194FC6" w:rsidRDefault="00B44CEF" w:rsidP="00231B5E">
            <w:pPr>
              <w:pStyle w:val="HTML"/>
              <w:jc w:val="both"/>
              <w:rPr>
                <w:rFonts w:ascii="標楷體" w:eastAsia="標楷體" w:hAnsi="標楷體"/>
                <w:color w:val="auto"/>
                <w:u w:val="single"/>
              </w:rPr>
            </w:pPr>
            <w:r w:rsidRPr="00194FC6">
              <w:rPr>
                <w:rFonts w:eastAsia="標楷體" w:hint="eastAsia"/>
                <w:color w:val="auto"/>
              </w:rPr>
              <w:t>（刪除）</w:t>
            </w:r>
          </w:p>
        </w:tc>
        <w:tc>
          <w:tcPr>
            <w:tcW w:w="2787" w:type="dxa"/>
          </w:tcPr>
          <w:p w:rsidR="00BB5B1C" w:rsidRPr="00194FC6" w:rsidRDefault="00BB5B1C" w:rsidP="00003B52">
            <w:pPr>
              <w:pStyle w:val="HTML"/>
              <w:jc w:val="both"/>
              <w:rPr>
                <w:rFonts w:ascii="標楷體" w:eastAsia="標楷體" w:hAnsi="標楷體"/>
                <w:color w:val="auto"/>
              </w:rPr>
            </w:pPr>
            <w:r w:rsidRPr="00194FC6">
              <w:rPr>
                <w:rFonts w:ascii="標楷體" w:eastAsia="標楷體" w:hAnsi="標楷體"/>
                <w:color w:val="auto"/>
              </w:rPr>
              <w:t>六、證券商對其全體客戶融資或融券上市、上櫃有價證券總金額依</w:t>
            </w:r>
            <w:proofErr w:type="gramStart"/>
            <w:r w:rsidRPr="00194FC6">
              <w:rPr>
                <w:rFonts w:ascii="標楷體" w:eastAsia="標楷體" w:hAnsi="標楷體"/>
                <w:color w:val="auto"/>
              </w:rPr>
              <w:t>規</w:t>
            </w:r>
            <w:proofErr w:type="gramEnd"/>
            <w:r w:rsidRPr="00194FC6">
              <w:rPr>
                <w:rFonts w:ascii="標楷體" w:eastAsia="標楷體" w:hAnsi="標楷體"/>
                <w:color w:val="auto"/>
              </w:rPr>
              <w:t>不得超過其淨值之一定額度，其當日資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相抵金額仍應併入該額度計算。</w:t>
            </w:r>
          </w:p>
        </w:tc>
        <w:tc>
          <w:tcPr>
            <w:tcW w:w="2788" w:type="dxa"/>
          </w:tcPr>
          <w:p w:rsidR="00752F90" w:rsidRPr="00194FC6" w:rsidRDefault="00752F90" w:rsidP="00752F90">
            <w:pPr>
              <w:kinsoku w:val="0"/>
              <w:overflowPunct w:val="0"/>
              <w:autoSpaceDE w:val="0"/>
              <w:ind w:rightChars="50" w:right="120"/>
              <w:jc w:val="both"/>
              <w:textAlignment w:val="center"/>
              <w:rPr>
                <w:rFonts w:eastAsia="標楷體"/>
              </w:rPr>
            </w:pPr>
            <w:r w:rsidRPr="00194FC6">
              <w:rPr>
                <w:rFonts w:eastAsia="標楷體" w:hint="eastAsia"/>
              </w:rPr>
              <w:t>一、</w:t>
            </w:r>
            <w:r w:rsidRPr="00194FC6">
              <w:rPr>
                <w:rFonts w:eastAsia="標楷體" w:hint="eastAsia"/>
                <w:u w:val="single"/>
              </w:rPr>
              <w:t>本</w:t>
            </w:r>
            <w:r w:rsidR="00E35196" w:rsidRPr="00194FC6">
              <w:rPr>
                <w:rFonts w:ascii="標楷體" w:eastAsia="標楷體" w:hAnsi="標楷體" w:cs="細明體" w:hint="eastAsia"/>
                <w:kern w:val="0"/>
                <w:szCs w:val="24"/>
                <w:u w:val="single"/>
              </w:rPr>
              <w:t>條</w:t>
            </w:r>
            <w:r w:rsidRPr="00194FC6">
              <w:rPr>
                <w:rFonts w:eastAsia="標楷體" w:hint="eastAsia"/>
                <w:u w:val="single"/>
              </w:rPr>
              <w:t>刪除</w:t>
            </w:r>
            <w:r w:rsidRPr="00194FC6">
              <w:rPr>
                <w:rFonts w:eastAsia="標楷體" w:hint="eastAsia"/>
              </w:rPr>
              <w:t>。</w:t>
            </w:r>
          </w:p>
          <w:p w:rsidR="00D61E7D" w:rsidRDefault="00BC1721" w:rsidP="00931D0D">
            <w:pPr>
              <w:ind w:left="379" w:hangingChars="158" w:hanging="379"/>
              <w:jc w:val="both"/>
              <w:rPr>
                <w:rFonts w:ascii="標楷體" w:eastAsia="標楷體" w:hAnsi="標楷體" w:cs="細明體"/>
                <w:kern w:val="0"/>
                <w:szCs w:val="24"/>
              </w:rPr>
            </w:pPr>
            <w:r w:rsidRPr="00194FC6">
              <w:rPr>
                <w:rFonts w:ascii="標楷體" w:eastAsia="標楷體" w:hAnsi="標楷體" w:cs="細明體" w:hint="eastAsia"/>
                <w:kern w:val="0"/>
                <w:szCs w:val="24"/>
              </w:rPr>
              <w:t>二、修正理由同</w:t>
            </w:r>
            <w:r w:rsidR="00773179">
              <w:rPr>
                <w:rFonts w:ascii="標楷體" w:eastAsia="標楷體" w:hAnsi="標楷體" w:cs="細明體" w:hint="eastAsia"/>
                <w:kern w:val="0"/>
                <w:szCs w:val="24"/>
              </w:rPr>
              <w:t>現行條文</w:t>
            </w:r>
            <w:r w:rsidRPr="00194FC6">
              <w:rPr>
                <w:rFonts w:ascii="標楷體" w:eastAsia="標楷體" w:hAnsi="標楷體" w:cs="細明體" w:hint="eastAsia"/>
                <w:kern w:val="0"/>
                <w:szCs w:val="24"/>
              </w:rPr>
              <w:t>第三條。</w:t>
            </w:r>
          </w:p>
        </w:tc>
      </w:tr>
      <w:tr w:rsidR="00FE7A6E" w:rsidRPr="00194FC6" w:rsidTr="009204BA">
        <w:trPr>
          <w:trHeight w:val="4200"/>
        </w:trPr>
        <w:tc>
          <w:tcPr>
            <w:tcW w:w="2787" w:type="dxa"/>
          </w:tcPr>
          <w:p w:rsidR="009204BA" w:rsidRPr="00194FC6" w:rsidRDefault="00B44CEF" w:rsidP="00DF32A4">
            <w:pPr>
              <w:pStyle w:val="HTML"/>
              <w:jc w:val="both"/>
              <w:rPr>
                <w:rFonts w:ascii="標楷體" w:eastAsia="標楷體" w:hAnsi="標楷體"/>
                <w:color w:val="auto"/>
              </w:rPr>
            </w:pPr>
            <w:r w:rsidRPr="00194FC6">
              <w:rPr>
                <w:rFonts w:eastAsia="標楷體" w:hint="eastAsia"/>
                <w:color w:val="auto"/>
              </w:rPr>
              <w:t>（刪除）</w:t>
            </w:r>
          </w:p>
          <w:p w:rsidR="009204BA" w:rsidRPr="00194FC6" w:rsidRDefault="009204BA" w:rsidP="00DF32A4">
            <w:pPr>
              <w:pStyle w:val="HTML"/>
              <w:jc w:val="both"/>
              <w:rPr>
                <w:rFonts w:ascii="標楷體" w:eastAsia="標楷體" w:hAnsi="標楷體"/>
                <w:color w:val="auto"/>
              </w:rPr>
            </w:pPr>
          </w:p>
          <w:p w:rsidR="009204BA" w:rsidRPr="00194FC6" w:rsidRDefault="009204BA" w:rsidP="00DF32A4">
            <w:pPr>
              <w:pStyle w:val="HTML"/>
              <w:jc w:val="both"/>
              <w:rPr>
                <w:rFonts w:ascii="標楷體" w:eastAsia="標楷體" w:hAnsi="標楷體"/>
                <w:color w:val="auto"/>
              </w:rPr>
            </w:pPr>
          </w:p>
          <w:p w:rsidR="009204BA" w:rsidRPr="00194FC6" w:rsidRDefault="009204BA" w:rsidP="00DF32A4">
            <w:pPr>
              <w:pStyle w:val="HTML"/>
              <w:jc w:val="both"/>
              <w:rPr>
                <w:rFonts w:ascii="標楷體" w:eastAsia="標楷體" w:hAnsi="標楷體"/>
                <w:color w:val="auto"/>
              </w:rPr>
            </w:pPr>
          </w:p>
          <w:p w:rsidR="009204BA" w:rsidRPr="00194FC6" w:rsidRDefault="009204BA" w:rsidP="00DF32A4">
            <w:pPr>
              <w:pStyle w:val="HTML"/>
              <w:jc w:val="both"/>
              <w:rPr>
                <w:rFonts w:ascii="標楷體" w:eastAsia="標楷體" w:hAnsi="標楷體"/>
                <w:color w:val="auto"/>
              </w:rPr>
            </w:pPr>
          </w:p>
          <w:p w:rsidR="009204BA" w:rsidRPr="00194FC6" w:rsidRDefault="009204BA" w:rsidP="00DF32A4">
            <w:pPr>
              <w:pStyle w:val="HTML"/>
              <w:jc w:val="both"/>
              <w:rPr>
                <w:rFonts w:ascii="標楷體" w:eastAsia="標楷體" w:hAnsi="標楷體"/>
                <w:color w:val="auto"/>
              </w:rPr>
            </w:pPr>
          </w:p>
          <w:p w:rsidR="009204BA" w:rsidRPr="00194FC6" w:rsidRDefault="009204BA" w:rsidP="00DF32A4">
            <w:pPr>
              <w:pStyle w:val="HTML"/>
              <w:jc w:val="both"/>
              <w:rPr>
                <w:rFonts w:ascii="標楷體" w:eastAsia="標楷體" w:hAnsi="標楷體"/>
                <w:color w:val="auto"/>
              </w:rPr>
            </w:pPr>
          </w:p>
          <w:p w:rsidR="009204BA" w:rsidRPr="00194FC6" w:rsidRDefault="009204BA" w:rsidP="00DF32A4">
            <w:pPr>
              <w:pStyle w:val="HTML"/>
              <w:jc w:val="both"/>
              <w:rPr>
                <w:rFonts w:ascii="標楷體" w:eastAsia="標楷體" w:hAnsi="標楷體"/>
                <w:color w:val="auto"/>
              </w:rPr>
            </w:pPr>
          </w:p>
          <w:p w:rsidR="00FE7A6E" w:rsidRPr="00194FC6" w:rsidRDefault="00FE7A6E" w:rsidP="00DF32A4">
            <w:pPr>
              <w:pStyle w:val="HTML"/>
              <w:jc w:val="both"/>
              <w:rPr>
                <w:color w:val="auto"/>
              </w:rPr>
            </w:pPr>
          </w:p>
        </w:tc>
        <w:tc>
          <w:tcPr>
            <w:tcW w:w="2787" w:type="dxa"/>
          </w:tcPr>
          <w:p w:rsidR="009204BA" w:rsidRPr="00194FC6" w:rsidRDefault="009204BA" w:rsidP="009204BA">
            <w:pPr>
              <w:pStyle w:val="HTML"/>
              <w:jc w:val="both"/>
              <w:rPr>
                <w:rFonts w:ascii="標楷體" w:eastAsia="標楷體" w:hAnsi="標楷體"/>
                <w:color w:val="auto"/>
              </w:rPr>
            </w:pPr>
            <w:r w:rsidRPr="00194FC6">
              <w:rPr>
                <w:rFonts w:ascii="標楷體" w:eastAsia="標楷體" w:hAnsi="標楷體"/>
                <w:color w:val="auto"/>
              </w:rPr>
              <w:t>七、證券商對每種有價證券融資總金額依</w:t>
            </w:r>
            <w:proofErr w:type="gramStart"/>
            <w:r w:rsidRPr="00194FC6">
              <w:rPr>
                <w:rFonts w:ascii="標楷體" w:eastAsia="標楷體" w:hAnsi="標楷體"/>
                <w:color w:val="auto"/>
              </w:rPr>
              <w:t>規</w:t>
            </w:r>
            <w:proofErr w:type="gramEnd"/>
            <w:r w:rsidRPr="00194FC6">
              <w:rPr>
                <w:rFonts w:ascii="標楷體" w:eastAsia="標楷體" w:hAnsi="標楷體"/>
                <w:color w:val="auto"/>
              </w:rPr>
              <w:t>不得超出其淨值十％。</w:t>
            </w:r>
          </w:p>
          <w:p w:rsidR="009204BA" w:rsidRPr="00194FC6" w:rsidRDefault="009204BA" w:rsidP="009204BA">
            <w:pPr>
              <w:pStyle w:val="HTML"/>
              <w:ind w:firstLineChars="150" w:firstLine="360"/>
              <w:jc w:val="both"/>
              <w:rPr>
                <w:rFonts w:ascii="標楷體" w:eastAsia="標楷體" w:hAnsi="標楷體"/>
                <w:color w:val="auto"/>
              </w:rPr>
            </w:pPr>
            <w:r w:rsidRPr="00194FC6">
              <w:rPr>
                <w:rFonts w:ascii="標楷體" w:eastAsia="標楷體" w:hAnsi="標楷體"/>
                <w:color w:val="auto"/>
              </w:rPr>
              <w:t>證券商辦理有價證券買賣融資融券與辦理有價證券借貸業務，對每種證券融券與出借之總金額，合計不得超過其淨值五％。</w:t>
            </w:r>
          </w:p>
          <w:p w:rsidR="00FE7A6E" w:rsidRPr="00194FC6" w:rsidRDefault="009204BA" w:rsidP="00846C45">
            <w:pPr>
              <w:pStyle w:val="HTML"/>
              <w:ind w:firstLineChars="150" w:firstLine="360"/>
              <w:jc w:val="both"/>
              <w:rPr>
                <w:rFonts w:ascii="標楷體" w:eastAsia="標楷體" w:hAnsi="標楷體"/>
                <w:color w:val="auto"/>
              </w:rPr>
            </w:pPr>
            <w:r w:rsidRPr="00194FC6">
              <w:rPr>
                <w:rFonts w:ascii="標楷體" w:eastAsia="標楷體" w:hAnsi="標楷體"/>
                <w:color w:val="auto"/>
              </w:rPr>
              <w:t>當日資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相抵金額仍應併入前二項額度之計算。</w:t>
            </w:r>
          </w:p>
        </w:tc>
        <w:tc>
          <w:tcPr>
            <w:tcW w:w="2788" w:type="dxa"/>
          </w:tcPr>
          <w:p w:rsidR="00752F90" w:rsidRPr="00194FC6" w:rsidRDefault="00752F90" w:rsidP="00752F90">
            <w:pPr>
              <w:kinsoku w:val="0"/>
              <w:overflowPunct w:val="0"/>
              <w:autoSpaceDE w:val="0"/>
              <w:ind w:rightChars="50" w:right="120"/>
              <w:jc w:val="both"/>
              <w:textAlignment w:val="center"/>
              <w:rPr>
                <w:rFonts w:eastAsia="標楷體"/>
              </w:rPr>
            </w:pPr>
            <w:r w:rsidRPr="00194FC6">
              <w:rPr>
                <w:rFonts w:eastAsia="標楷體" w:hint="eastAsia"/>
              </w:rPr>
              <w:t>一、</w:t>
            </w:r>
            <w:r w:rsidRPr="00194FC6">
              <w:rPr>
                <w:rFonts w:eastAsia="標楷體" w:hint="eastAsia"/>
                <w:u w:val="single"/>
              </w:rPr>
              <w:t>本</w:t>
            </w:r>
            <w:r w:rsidR="00E35196" w:rsidRPr="00194FC6">
              <w:rPr>
                <w:rFonts w:ascii="標楷體" w:eastAsia="標楷體" w:hAnsi="標楷體" w:cs="細明體" w:hint="eastAsia"/>
                <w:kern w:val="0"/>
                <w:szCs w:val="24"/>
                <w:u w:val="single"/>
              </w:rPr>
              <w:t>條</w:t>
            </w:r>
            <w:r w:rsidRPr="00194FC6">
              <w:rPr>
                <w:rFonts w:eastAsia="標楷體" w:hint="eastAsia"/>
                <w:u w:val="single"/>
              </w:rPr>
              <w:t>刪除</w:t>
            </w:r>
            <w:r w:rsidRPr="00194FC6">
              <w:rPr>
                <w:rFonts w:eastAsia="標楷體" w:hint="eastAsia"/>
              </w:rPr>
              <w:t>。</w:t>
            </w:r>
          </w:p>
          <w:p w:rsidR="009204BA" w:rsidRPr="00194FC6" w:rsidRDefault="00BC1721" w:rsidP="00931D0D">
            <w:pPr>
              <w:ind w:left="379" w:hangingChars="158" w:hanging="379"/>
              <w:jc w:val="both"/>
              <w:rPr>
                <w:rFonts w:ascii="標楷體" w:eastAsia="標楷體" w:hAnsi="標楷體" w:cs="細明體"/>
                <w:kern w:val="0"/>
                <w:szCs w:val="24"/>
              </w:rPr>
            </w:pPr>
            <w:r w:rsidRPr="00194FC6">
              <w:rPr>
                <w:rFonts w:ascii="標楷體" w:eastAsia="標楷體" w:hAnsi="標楷體" w:cs="細明體" w:hint="eastAsia"/>
                <w:kern w:val="0"/>
                <w:szCs w:val="24"/>
              </w:rPr>
              <w:t>二、修正理由同</w:t>
            </w:r>
            <w:r w:rsidR="00773179">
              <w:rPr>
                <w:rFonts w:ascii="標楷體" w:eastAsia="標楷體" w:hAnsi="標楷體" w:cs="細明體" w:hint="eastAsia"/>
                <w:kern w:val="0"/>
                <w:szCs w:val="24"/>
              </w:rPr>
              <w:t>現行條文</w:t>
            </w:r>
            <w:r w:rsidRPr="00194FC6">
              <w:rPr>
                <w:rFonts w:ascii="標楷體" w:eastAsia="標楷體" w:hAnsi="標楷體" w:cs="細明體" w:hint="eastAsia"/>
                <w:kern w:val="0"/>
                <w:szCs w:val="24"/>
              </w:rPr>
              <w:t>第三條。</w:t>
            </w:r>
          </w:p>
          <w:p w:rsidR="009204BA" w:rsidRPr="00194FC6" w:rsidRDefault="009204BA" w:rsidP="001C24E2">
            <w:pPr>
              <w:ind w:leftChars="-18" w:left="-43" w:firstLineChars="18" w:firstLine="43"/>
              <w:jc w:val="both"/>
              <w:rPr>
                <w:rFonts w:ascii="標楷體" w:eastAsia="標楷體" w:hAnsi="標楷體" w:cs="細明體"/>
                <w:kern w:val="0"/>
                <w:szCs w:val="24"/>
              </w:rPr>
            </w:pPr>
          </w:p>
          <w:p w:rsidR="009204BA" w:rsidRPr="00194FC6" w:rsidRDefault="009204BA" w:rsidP="001C24E2">
            <w:pPr>
              <w:ind w:leftChars="-18" w:left="-43" w:firstLineChars="18" w:firstLine="43"/>
              <w:jc w:val="both"/>
              <w:rPr>
                <w:rFonts w:ascii="標楷體" w:eastAsia="標楷體" w:hAnsi="標楷體" w:cs="細明體"/>
                <w:kern w:val="0"/>
                <w:szCs w:val="24"/>
              </w:rPr>
            </w:pPr>
          </w:p>
          <w:p w:rsidR="009204BA" w:rsidRPr="00194FC6" w:rsidRDefault="009204BA" w:rsidP="001C24E2">
            <w:pPr>
              <w:ind w:leftChars="-18" w:left="-43" w:firstLineChars="18" w:firstLine="43"/>
              <w:jc w:val="both"/>
              <w:rPr>
                <w:rFonts w:ascii="標楷體" w:eastAsia="標楷體" w:hAnsi="標楷體" w:cs="細明體"/>
                <w:kern w:val="0"/>
                <w:szCs w:val="24"/>
              </w:rPr>
            </w:pPr>
          </w:p>
          <w:p w:rsidR="009204BA" w:rsidRPr="00194FC6" w:rsidRDefault="009204BA" w:rsidP="001C24E2">
            <w:pPr>
              <w:ind w:leftChars="-18" w:left="-43" w:firstLineChars="18" w:firstLine="43"/>
              <w:jc w:val="both"/>
              <w:rPr>
                <w:rFonts w:ascii="標楷體" w:eastAsia="標楷體" w:hAnsi="標楷體" w:cs="細明體"/>
                <w:kern w:val="0"/>
                <w:szCs w:val="24"/>
              </w:rPr>
            </w:pPr>
          </w:p>
          <w:p w:rsidR="009204BA" w:rsidRPr="00194FC6" w:rsidRDefault="009204BA" w:rsidP="001C24E2">
            <w:pPr>
              <w:ind w:leftChars="-18" w:left="-43" w:firstLineChars="18" w:firstLine="43"/>
              <w:jc w:val="both"/>
              <w:rPr>
                <w:rFonts w:ascii="標楷體" w:eastAsia="標楷體" w:hAnsi="標楷體" w:cs="細明體"/>
                <w:kern w:val="0"/>
                <w:szCs w:val="24"/>
              </w:rPr>
            </w:pPr>
          </w:p>
          <w:p w:rsidR="008E5FC2" w:rsidRPr="00194FC6" w:rsidRDefault="008E5FC2" w:rsidP="001C24E2">
            <w:pPr>
              <w:ind w:leftChars="-18" w:left="-43" w:firstLineChars="18" w:firstLine="43"/>
              <w:jc w:val="both"/>
              <w:rPr>
                <w:rFonts w:ascii="標楷體" w:eastAsia="標楷體" w:hAnsi="標楷體" w:cs="細明體"/>
                <w:kern w:val="0"/>
                <w:szCs w:val="24"/>
              </w:rPr>
            </w:pPr>
          </w:p>
        </w:tc>
      </w:tr>
      <w:tr w:rsidR="009204BA" w:rsidRPr="00194FC6" w:rsidTr="00FE7A6E">
        <w:trPr>
          <w:trHeight w:val="9828"/>
        </w:trPr>
        <w:tc>
          <w:tcPr>
            <w:tcW w:w="2787" w:type="dxa"/>
          </w:tcPr>
          <w:p w:rsidR="009204BA" w:rsidRPr="00194FC6" w:rsidRDefault="00704554" w:rsidP="00DF32A4">
            <w:pPr>
              <w:pStyle w:val="HTML"/>
              <w:jc w:val="both"/>
              <w:rPr>
                <w:rFonts w:ascii="標楷體" w:eastAsia="標楷體" w:hAnsi="標楷體"/>
                <w:color w:val="auto"/>
              </w:rPr>
            </w:pPr>
            <w:r w:rsidRPr="00194FC6">
              <w:rPr>
                <w:rFonts w:ascii="標楷體" w:eastAsia="標楷體" w:hAnsi="標楷體" w:hint="eastAsia"/>
                <w:color w:val="auto"/>
                <w:u w:val="single"/>
              </w:rPr>
              <w:lastRenderedPageBreak/>
              <w:t>七</w:t>
            </w:r>
            <w:r w:rsidR="009204BA" w:rsidRPr="00194FC6">
              <w:rPr>
                <w:rFonts w:ascii="標楷體" w:eastAsia="標楷體" w:hAnsi="標楷體"/>
                <w:color w:val="auto"/>
              </w:rPr>
              <w:t>、證券商辦理有價證券買賣融資融券，每種證券融券餘額與辦理有價證券借貸業務之出借餘額合計數達下列各款數額之合計數時，應即停止融券：</w:t>
            </w:r>
          </w:p>
          <w:p w:rsidR="009204BA" w:rsidRPr="00194FC6" w:rsidRDefault="009204BA" w:rsidP="00DF32A4">
            <w:pPr>
              <w:pStyle w:val="HTML"/>
              <w:jc w:val="both"/>
              <w:rPr>
                <w:rFonts w:ascii="標楷體" w:eastAsia="標楷體" w:hAnsi="標楷體"/>
                <w:color w:val="auto"/>
              </w:rPr>
            </w:pPr>
            <w:r w:rsidRPr="00194FC6">
              <w:rPr>
                <w:rFonts w:ascii="標楷體" w:eastAsia="標楷體" w:hAnsi="標楷體"/>
                <w:color w:val="auto"/>
              </w:rPr>
              <w:t>一、融資餘額。</w:t>
            </w:r>
          </w:p>
          <w:p w:rsidR="00555117" w:rsidRPr="00194FC6" w:rsidRDefault="009204BA" w:rsidP="00DF32A4">
            <w:pPr>
              <w:pStyle w:val="HTML"/>
              <w:jc w:val="both"/>
              <w:rPr>
                <w:rFonts w:ascii="標楷體" w:eastAsia="標楷體" w:hAnsi="標楷體"/>
                <w:color w:val="auto"/>
              </w:rPr>
            </w:pPr>
            <w:r w:rsidRPr="00194FC6">
              <w:rPr>
                <w:rFonts w:ascii="標楷體" w:eastAsia="標楷體" w:hAnsi="標楷體"/>
                <w:color w:val="auto"/>
              </w:rPr>
              <w:t>二、自有有價證券。</w:t>
            </w:r>
          </w:p>
          <w:p w:rsidR="009204BA" w:rsidRPr="00194FC6" w:rsidRDefault="009204BA" w:rsidP="00DF32A4">
            <w:pPr>
              <w:pStyle w:val="HTML"/>
              <w:ind w:left="360" w:hangingChars="150" w:hanging="360"/>
              <w:jc w:val="both"/>
              <w:rPr>
                <w:rFonts w:ascii="標楷體" w:eastAsia="標楷體" w:hAnsi="標楷體"/>
                <w:color w:val="auto"/>
              </w:rPr>
            </w:pPr>
            <w:r w:rsidRPr="00194FC6">
              <w:rPr>
                <w:rFonts w:ascii="標楷體" w:eastAsia="標楷體" w:hAnsi="標楷體"/>
                <w:color w:val="auto"/>
              </w:rPr>
              <w:t>三</w:t>
            </w:r>
            <w:r w:rsidR="00555117" w:rsidRPr="00194FC6">
              <w:rPr>
                <w:rFonts w:ascii="標楷體" w:eastAsia="標楷體" w:hAnsi="標楷體" w:hint="eastAsia"/>
                <w:color w:val="auto"/>
              </w:rPr>
              <w:t>、</w:t>
            </w:r>
            <w:r w:rsidRPr="00194FC6">
              <w:rPr>
                <w:rFonts w:ascii="標楷體" w:eastAsia="標楷體" w:hAnsi="標楷體"/>
                <w:color w:val="auto"/>
              </w:rPr>
              <w:t>向證券交易所借</w:t>
            </w:r>
            <w:proofErr w:type="gramStart"/>
            <w:r w:rsidRPr="00194FC6">
              <w:rPr>
                <w:rFonts w:ascii="標楷體" w:eastAsia="標楷體" w:hAnsi="標楷體"/>
                <w:color w:val="auto"/>
              </w:rPr>
              <w:t>券</w:t>
            </w:r>
            <w:proofErr w:type="gramEnd"/>
            <w:r w:rsidRPr="00194FC6">
              <w:rPr>
                <w:rFonts w:ascii="標楷體" w:eastAsia="標楷體" w:hAnsi="標楷體"/>
                <w:color w:val="auto"/>
              </w:rPr>
              <w:t>系統借入之有價證券。</w:t>
            </w:r>
          </w:p>
          <w:p w:rsidR="009204BA" w:rsidRPr="00194FC6" w:rsidRDefault="009204BA" w:rsidP="00DF32A4">
            <w:pPr>
              <w:pStyle w:val="HTML"/>
              <w:ind w:firstLineChars="200" w:firstLine="480"/>
              <w:jc w:val="both"/>
              <w:rPr>
                <w:rFonts w:ascii="標楷體" w:eastAsia="標楷體" w:hAnsi="標楷體"/>
                <w:color w:val="auto"/>
              </w:rPr>
            </w:pPr>
            <w:r w:rsidRPr="00194FC6">
              <w:rPr>
                <w:rFonts w:ascii="標楷體" w:eastAsia="標楷體" w:hAnsi="標楷體"/>
                <w:color w:val="auto"/>
              </w:rPr>
              <w:t>證券商每日資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相抵之融券限額計算方式如下（以營業日為</w:t>
            </w:r>
            <w:proofErr w:type="gramStart"/>
            <w:r w:rsidRPr="00194FC6">
              <w:rPr>
                <w:rFonts w:ascii="標楷體" w:eastAsia="標楷體" w:hAnsi="標楷體"/>
                <w:color w:val="auto"/>
              </w:rPr>
              <w:t>準</w:t>
            </w:r>
            <w:proofErr w:type="gramEnd"/>
            <w:r w:rsidRPr="00194FC6">
              <w:rPr>
                <w:rFonts w:ascii="標楷體" w:eastAsia="標楷體" w:hAnsi="標楷體"/>
                <w:color w:val="auto"/>
              </w:rPr>
              <w:t xml:space="preserve">）： </w:t>
            </w:r>
          </w:p>
          <w:p w:rsidR="009204BA" w:rsidRPr="00194FC6" w:rsidRDefault="009204BA" w:rsidP="00DF32A4">
            <w:pPr>
              <w:pStyle w:val="HTML"/>
              <w:jc w:val="both"/>
              <w:rPr>
                <w:rFonts w:ascii="標楷體" w:eastAsia="標楷體" w:hAnsi="標楷體"/>
                <w:color w:val="auto"/>
              </w:rPr>
            </w:pPr>
            <w:r w:rsidRPr="00194FC6">
              <w:rPr>
                <w:rFonts w:ascii="標楷體" w:eastAsia="標楷體" w:hAnsi="標楷體"/>
                <w:color w:val="auto"/>
              </w:rPr>
              <w:t>前日融資餘額＋前日自有有價證券餘額＋前日自借</w:t>
            </w:r>
            <w:proofErr w:type="gramStart"/>
            <w:r w:rsidRPr="00194FC6">
              <w:rPr>
                <w:rFonts w:ascii="標楷體" w:eastAsia="標楷體" w:hAnsi="標楷體"/>
                <w:color w:val="auto"/>
              </w:rPr>
              <w:t>券</w:t>
            </w:r>
            <w:proofErr w:type="gramEnd"/>
            <w:r w:rsidRPr="00194FC6">
              <w:rPr>
                <w:rFonts w:ascii="標楷體" w:eastAsia="標楷體" w:hAnsi="標楷體"/>
                <w:color w:val="auto"/>
              </w:rPr>
              <w:t>系統借入之有價證券餘額－前日融券餘額－前日辦理有價證券借貸之出借餘額＋本日融券現</w:t>
            </w:r>
            <w:proofErr w:type="gramStart"/>
            <w:r w:rsidRPr="00194FC6">
              <w:rPr>
                <w:rFonts w:ascii="標楷體" w:eastAsia="標楷體" w:hAnsi="標楷體"/>
                <w:color w:val="auto"/>
              </w:rPr>
              <w:t>券</w:t>
            </w:r>
            <w:proofErr w:type="gramEnd"/>
            <w:r w:rsidRPr="00194FC6">
              <w:rPr>
                <w:rFonts w:ascii="標楷體" w:eastAsia="標楷體" w:hAnsi="標楷體"/>
                <w:color w:val="auto"/>
              </w:rPr>
              <w:t>償還＋本日融資買進＋本日交割之自有有價證券＋本日返還之出借有價證券＋本日自借</w:t>
            </w:r>
            <w:proofErr w:type="gramStart"/>
            <w:r w:rsidRPr="00194FC6">
              <w:rPr>
                <w:rFonts w:ascii="標楷體" w:eastAsia="標楷體" w:hAnsi="標楷體"/>
                <w:color w:val="auto"/>
              </w:rPr>
              <w:t>券</w:t>
            </w:r>
            <w:proofErr w:type="gramEnd"/>
            <w:r w:rsidRPr="00194FC6">
              <w:rPr>
                <w:rFonts w:ascii="標楷體" w:eastAsia="標楷體" w:hAnsi="標楷體"/>
                <w:color w:val="auto"/>
              </w:rPr>
              <w:t>系統借入之有價證券。</w:t>
            </w:r>
          </w:p>
        </w:tc>
        <w:tc>
          <w:tcPr>
            <w:tcW w:w="2787" w:type="dxa"/>
          </w:tcPr>
          <w:p w:rsidR="009204BA" w:rsidRPr="00194FC6" w:rsidRDefault="009204BA" w:rsidP="009204BA">
            <w:pPr>
              <w:pStyle w:val="HTML"/>
              <w:jc w:val="both"/>
              <w:rPr>
                <w:rFonts w:ascii="標楷體" w:eastAsia="標楷體" w:hAnsi="標楷體"/>
                <w:color w:val="auto"/>
              </w:rPr>
            </w:pPr>
            <w:r w:rsidRPr="00194FC6">
              <w:rPr>
                <w:rFonts w:ascii="標楷體" w:eastAsia="標楷體" w:hAnsi="標楷體"/>
                <w:color w:val="auto"/>
              </w:rPr>
              <w:t>八、證券商辦理有價證券買賣融資融券，每種證券融券餘額與辦理有價證券借貸業務之出借餘額合計數達下列各款數額之合計數時，應即停止融券：</w:t>
            </w:r>
          </w:p>
          <w:p w:rsidR="009204BA" w:rsidRPr="00194FC6" w:rsidRDefault="009204BA" w:rsidP="009204BA">
            <w:pPr>
              <w:pStyle w:val="HTML"/>
              <w:jc w:val="both"/>
              <w:rPr>
                <w:rFonts w:ascii="標楷體" w:eastAsia="標楷體" w:hAnsi="標楷體"/>
                <w:color w:val="auto"/>
              </w:rPr>
            </w:pPr>
            <w:r w:rsidRPr="00194FC6">
              <w:rPr>
                <w:rFonts w:ascii="標楷體" w:eastAsia="標楷體" w:hAnsi="標楷體"/>
                <w:color w:val="auto"/>
              </w:rPr>
              <w:t>一、融資餘額。</w:t>
            </w:r>
          </w:p>
          <w:p w:rsidR="009204BA" w:rsidRPr="00194FC6" w:rsidRDefault="009204BA" w:rsidP="009204BA">
            <w:pPr>
              <w:pStyle w:val="HTML"/>
              <w:jc w:val="both"/>
              <w:rPr>
                <w:rFonts w:ascii="標楷體" w:eastAsia="標楷體" w:hAnsi="標楷體"/>
                <w:color w:val="auto"/>
              </w:rPr>
            </w:pPr>
            <w:r w:rsidRPr="00194FC6">
              <w:rPr>
                <w:rFonts w:ascii="標楷體" w:eastAsia="標楷體" w:hAnsi="標楷體"/>
                <w:color w:val="auto"/>
              </w:rPr>
              <w:t>二、自有有價證券。</w:t>
            </w:r>
          </w:p>
          <w:p w:rsidR="009204BA" w:rsidRPr="00194FC6" w:rsidRDefault="009204BA" w:rsidP="009204BA">
            <w:pPr>
              <w:pStyle w:val="HTML"/>
              <w:ind w:leftChars="-1" w:left="332" w:hangingChars="139" w:hanging="334"/>
              <w:jc w:val="both"/>
              <w:rPr>
                <w:rFonts w:ascii="標楷體" w:eastAsia="標楷體" w:hAnsi="標楷體"/>
                <w:color w:val="auto"/>
              </w:rPr>
            </w:pPr>
            <w:r w:rsidRPr="00194FC6">
              <w:rPr>
                <w:rFonts w:ascii="標楷體" w:eastAsia="標楷體" w:hAnsi="標楷體"/>
                <w:color w:val="auto"/>
              </w:rPr>
              <w:t>三、向證券交易所借</w:t>
            </w:r>
            <w:proofErr w:type="gramStart"/>
            <w:r w:rsidRPr="00194FC6">
              <w:rPr>
                <w:rFonts w:ascii="標楷體" w:eastAsia="標楷體" w:hAnsi="標楷體"/>
                <w:color w:val="auto"/>
              </w:rPr>
              <w:t>券</w:t>
            </w:r>
            <w:proofErr w:type="gramEnd"/>
            <w:r w:rsidRPr="00194FC6">
              <w:rPr>
                <w:rFonts w:ascii="標楷體" w:eastAsia="標楷體" w:hAnsi="標楷體"/>
                <w:color w:val="auto"/>
              </w:rPr>
              <w:t>系統借入之有價證券。</w:t>
            </w:r>
          </w:p>
          <w:p w:rsidR="009204BA" w:rsidRPr="00194FC6" w:rsidRDefault="009204BA" w:rsidP="009204BA">
            <w:pPr>
              <w:pStyle w:val="HTML"/>
              <w:ind w:firstLineChars="200" w:firstLine="480"/>
              <w:jc w:val="both"/>
              <w:rPr>
                <w:rFonts w:ascii="標楷體" w:eastAsia="標楷體" w:hAnsi="標楷體"/>
                <w:color w:val="auto"/>
              </w:rPr>
            </w:pPr>
            <w:r w:rsidRPr="00194FC6">
              <w:rPr>
                <w:rFonts w:ascii="標楷體" w:eastAsia="標楷體" w:hAnsi="標楷體"/>
                <w:color w:val="auto"/>
              </w:rPr>
              <w:t>證券商每日資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相抵之融券限額計算方式如下（以營業日為</w:t>
            </w:r>
            <w:proofErr w:type="gramStart"/>
            <w:r w:rsidRPr="00194FC6">
              <w:rPr>
                <w:rFonts w:ascii="標楷體" w:eastAsia="標楷體" w:hAnsi="標楷體"/>
                <w:color w:val="auto"/>
              </w:rPr>
              <w:t>準</w:t>
            </w:r>
            <w:proofErr w:type="gramEnd"/>
            <w:r w:rsidRPr="00194FC6">
              <w:rPr>
                <w:rFonts w:ascii="標楷體" w:eastAsia="標楷體" w:hAnsi="標楷體"/>
                <w:color w:val="auto"/>
              </w:rPr>
              <w:t xml:space="preserve">）： </w:t>
            </w:r>
          </w:p>
          <w:p w:rsidR="009204BA" w:rsidRPr="00194FC6" w:rsidRDefault="009204BA" w:rsidP="009204BA">
            <w:pPr>
              <w:pStyle w:val="HTML"/>
              <w:jc w:val="both"/>
              <w:rPr>
                <w:rFonts w:ascii="標楷體" w:eastAsia="標楷體" w:hAnsi="標楷體"/>
                <w:color w:val="auto"/>
              </w:rPr>
            </w:pPr>
            <w:r w:rsidRPr="00194FC6">
              <w:rPr>
                <w:rFonts w:ascii="標楷體" w:eastAsia="標楷體" w:hAnsi="標楷體"/>
                <w:color w:val="auto"/>
              </w:rPr>
              <w:t>前日融資餘額＋前日自有有價證券餘額＋前日自借</w:t>
            </w:r>
            <w:proofErr w:type="gramStart"/>
            <w:r w:rsidRPr="00194FC6">
              <w:rPr>
                <w:rFonts w:ascii="標楷體" w:eastAsia="標楷體" w:hAnsi="標楷體"/>
                <w:color w:val="auto"/>
              </w:rPr>
              <w:t>券</w:t>
            </w:r>
            <w:proofErr w:type="gramEnd"/>
            <w:r w:rsidRPr="00194FC6">
              <w:rPr>
                <w:rFonts w:ascii="標楷體" w:eastAsia="標楷體" w:hAnsi="標楷體"/>
                <w:color w:val="auto"/>
              </w:rPr>
              <w:t>系統借入之有價證券餘額－前日融券餘額－前日辦理有價證券借貸之出借餘額＋本日融券現</w:t>
            </w:r>
            <w:proofErr w:type="gramStart"/>
            <w:r w:rsidRPr="00194FC6">
              <w:rPr>
                <w:rFonts w:ascii="標楷體" w:eastAsia="標楷體" w:hAnsi="標楷體"/>
                <w:color w:val="auto"/>
              </w:rPr>
              <w:t>券</w:t>
            </w:r>
            <w:proofErr w:type="gramEnd"/>
            <w:r w:rsidRPr="00194FC6">
              <w:rPr>
                <w:rFonts w:ascii="標楷體" w:eastAsia="標楷體" w:hAnsi="標楷體"/>
                <w:color w:val="auto"/>
              </w:rPr>
              <w:t>償還＋本日融資買進＋本日交割之自有有價證券＋本日返還之出借有價證券＋本日自借</w:t>
            </w:r>
            <w:proofErr w:type="gramStart"/>
            <w:r w:rsidRPr="00194FC6">
              <w:rPr>
                <w:rFonts w:ascii="標楷體" w:eastAsia="標楷體" w:hAnsi="標楷體"/>
                <w:color w:val="auto"/>
              </w:rPr>
              <w:t>券</w:t>
            </w:r>
            <w:proofErr w:type="gramEnd"/>
            <w:r w:rsidRPr="00194FC6">
              <w:rPr>
                <w:rFonts w:ascii="標楷體" w:eastAsia="標楷體" w:hAnsi="標楷體"/>
                <w:color w:val="auto"/>
              </w:rPr>
              <w:t>系統借入之有價證券。</w:t>
            </w:r>
          </w:p>
        </w:tc>
        <w:tc>
          <w:tcPr>
            <w:tcW w:w="2788" w:type="dxa"/>
          </w:tcPr>
          <w:p w:rsidR="009204BA" w:rsidRPr="00194FC6" w:rsidRDefault="00A17E81" w:rsidP="00E35196">
            <w:pPr>
              <w:ind w:leftChars="-18" w:left="-43" w:firstLineChars="18" w:firstLine="43"/>
              <w:jc w:val="both"/>
              <w:rPr>
                <w:rFonts w:ascii="標楷體" w:eastAsia="標楷體" w:hAnsi="標楷體" w:cs="細明體"/>
                <w:kern w:val="0"/>
                <w:szCs w:val="24"/>
              </w:rPr>
            </w:pPr>
            <w:r w:rsidRPr="00194FC6">
              <w:rPr>
                <w:rFonts w:ascii="標楷體" w:eastAsia="標楷體" w:hAnsi="標楷體" w:cs="細明體" w:hint="eastAsia"/>
                <w:kern w:val="0"/>
                <w:szCs w:val="24"/>
              </w:rPr>
              <w:t>條次變更。</w:t>
            </w:r>
          </w:p>
        </w:tc>
      </w:tr>
      <w:tr w:rsidR="009C488F" w:rsidRPr="00194FC6" w:rsidTr="00FE7A6E">
        <w:trPr>
          <w:trHeight w:val="276"/>
        </w:trPr>
        <w:tc>
          <w:tcPr>
            <w:tcW w:w="2787" w:type="dxa"/>
          </w:tcPr>
          <w:p w:rsidR="009C488F" w:rsidRPr="00194FC6" w:rsidRDefault="00704554" w:rsidP="004A4C6F">
            <w:pPr>
              <w:pStyle w:val="HTML"/>
              <w:jc w:val="both"/>
              <w:rPr>
                <w:rFonts w:ascii="標楷體" w:eastAsia="標楷體" w:hAnsi="標楷體"/>
                <w:color w:val="auto"/>
              </w:rPr>
            </w:pPr>
            <w:r w:rsidRPr="00194FC6">
              <w:rPr>
                <w:rFonts w:ascii="標楷體" w:eastAsia="標楷體" w:hAnsi="標楷體" w:hint="eastAsia"/>
                <w:color w:val="auto"/>
                <w:u w:val="single"/>
              </w:rPr>
              <w:t>八</w:t>
            </w:r>
            <w:r w:rsidR="009C488F" w:rsidRPr="00194FC6">
              <w:rPr>
                <w:rFonts w:ascii="標楷體" w:eastAsia="標楷體" w:hAnsi="標楷體"/>
                <w:color w:val="auto"/>
              </w:rPr>
              <w:t>、證券商每日將信用交易量值輸入證券交易所或櫃檯中心時，有關資</w:t>
            </w:r>
            <w:proofErr w:type="gramStart"/>
            <w:r w:rsidR="009C488F" w:rsidRPr="00194FC6">
              <w:rPr>
                <w:rFonts w:ascii="標楷體" w:eastAsia="標楷體" w:hAnsi="標楷體"/>
                <w:color w:val="auto"/>
              </w:rPr>
              <w:t>券</w:t>
            </w:r>
            <w:proofErr w:type="gramEnd"/>
            <w:r w:rsidR="009C488F" w:rsidRPr="00194FC6">
              <w:rPr>
                <w:rFonts w:ascii="標楷體" w:eastAsia="標楷體" w:hAnsi="標楷體"/>
                <w:color w:val="auto"/>
              </w:rPr>
              <w:t>相抵交割部分應分開列示。</w:t>
            </w:r>
          </w:p>
        </w:tc>
        <w:tc>
          <w:tcPr>
            <w:tcW w:w="2787" w:type="dxa"/>
          </w:tcPr>
          <w:p w:rsidR="009C488F" w:rsidRPr="00194FC6" w:rsidRDefault="009C488F" w:rsidP="000C6EF9">
            <w:pPr>
              <w:pStyle w:val="HTML"/>
              <w:jc w:val="both"/>
              <w:rPr>
                <w:rFonts w:ascii="標楷體" w:eastAsia="標楷體" w:hAnsi="標楷體"/>
                <w:color w:val="auto"/>
              </w:rPr>
            </w:pPr>
            <w:r w:rsidRPr="00194FC6">
              <w:rPr>
                <w:rFonts w:ascii="標楷體" w:eastAsia="標楷體" w:hAnsi="標楷體"/>
                <w:color w:val="auto"/>
              </w:rPr>
              <w:t>九、證券商每日將信用交易量值輸入證券交易所或櫃檯中心時，有關資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相抵交割部分應分開列示。</w:t>
            </w:r>
          </w:p>
        </w:tc>
        <w:tc>
          <w:tcPr>
            <w:tcW w:w="2788" w:type="dxa"/>
          </w:tcPr>
          <w:p w:rsidR="009C488F" w:rsidRPr="00194FC6" w:rsidRDefault="00A17E81" w:rsidP="00AE5111">
            <w:pPr>
              <w:ind w:leftChars="-18" w:left="-43" w:firstLineChars="18" w:firstLine="43"/>
              <w:jc w:val="both"/>
              <w:rPr>
                <w:rFonts w:ascii="標楷體" w:eastAsia="標楷體" w:hAnsi="標楷體" w:cs="細明體"/>
                <w:kern w:val="0"/>
                <w:szCs w:val="24"/>
              </w:rPr>
            </w:pPr>
            <w:r w:rsidRPr="00194FC6">
              <w:rPr>
                <w:rFonts w:ascii="標楷體" w:eastAsia="標楷體" w:hAnsi="標楷體" w:cs="細明體" w:hint="eastAsia"/>
                <w:kern w:val="0"/>
                <w:szCs w:val="24"/>
              </w:rPr>
              <w:t>條次變更。</w:t>
            </w:r>
          </w:p>
        </w:tc>
      </w:tr>
      <w:tr w:rsidR="009C488F" w:rsidRPr="00194FC6" w:rsidTr="00FE7A6E">
        <w:trPr>
          <w:trHeight w:val="252"/>
        </w:trPr>
        <w:tc>
          <w:tcPr>
            <w:tcW w:w="2787" w:type="dxa"/>
          </w:tcPr>
          <w:p w:rsidR="009C488F" w:rsidRPr="00194FC6" w:rsidRDefault="00240EFF" w:rsidP="00CA57E0">
            <w:pPr>
              <w:pStyle w:val="HTML"/>
              <w:jc w:val="both"/>
              <w:rPr>
                <w:rFonts w:ascii="標楷體" w:eastAsia="標楷體" w:hAnsi="標楷體"/>
                <w:color w:val="auto"/>
                <w:u w:val="single"/>
              </w:rPr>
            </w:pPr>
            <w:r w:rsidRPr="00194FC6">
              <w:rPr>
                <w:rFonts w:eastAsia="標楷體" w:hint="eastAsia"/>
                <w:color w:val="auto"/>
              </w:rPr>
              <w:t>（刪除）</w:t>
            </w:r>
          </w:p>
        </w:tc>
        <w:tc>
          <w:tcPr>
            <w:tcW w:w="2787" w:type="dxa"/>
          </w:tcPr>
          <w:p w:rsidR="009C488F" w:rsidRPr="00194FC6" w:rsidRDefault="009C488F" w:rsidP="000C6EF9">
            <w:pPr>
              <w:pStyle w:val="HTML"/>
              <w:jc w:val="both"/>
              <w:rPr>
                <w:rFonts w:ascii="標楷體" w:eastAsia="標楷體" w:hAnsi="標楷體"/>
                <w:color w:val="auto"/>
              </w:rPr>
            </w:pPr>
            <w:r w:rsidRPr="00194FC6">
              <w:rPr>
                <w:rFonts w:ascii="標楷體" w:eastAsia="標楷體" w:hAnsi="標楷體"/>
                <w:color w:val="auto"/>
              </w:rPr>
              <w:t>十、每種得為融資融券交易之有價證券，其依主管機關所訂之融資融券限額不含資</w:t>
            </w:r>
            <w:proofErr w:type="gramStart"/>
            <w:r w:rsidRPr="00194FC6">
              <w:rPr>
                <w:rFonts w:ascii="標楷體" w:eastAsia="標楷體" w:hAnsi="標楷體"/>
                <w:color w:val="auto"/>
              </w:rPr>
              <w:t>券</w:t>
            </w:r>
            <w:proofErr w:type="gramEnd"/>
            <w:r w:rsidRPr="00194FC6">
              <w:rPr>
                <w:rFonts w:ascii="標楷體" w:eastAsia="標楷體" w:hAnsi="標楷體"/>
                <w:color w:val="auto"/>
              </w:rPr>
              <w:t>相抵交割部分。</w:t>
            </w:r>
          </w:p>
        </w:tc>
        <w:tc>
          <w:tcPr>
            <w:tcW w:w="2788" w:type="dxa"/>
          </w:tcPr>
          <w:p w:rsidR="00CD0905" w:rsidRPr="00194FC6" w:rsidRDefault="00CD0905" w:rsidP="009D3F4A">
            <w:pPr>
              <w:jc w:val="both"/>
              <w:rPr>
                <w:rFonts w:ascii="標楷體" w:eastAsia="標楷體" w:hAnsi="標楷體" w:cs="細明體"/>
                <w:kern w:val="0"/>
                <w:szCs w:val="24"/>
              </w:rPr>
            </w:pPr>
            <w:r w:rsidRPr="00194FC6">
              <w:rPr>
                <w:rFonts w:ascii="標楷體" w:eastAsia="標楷體" w:hAnsi="標楷體" w:cs="細明體" w:hint="eastAsia"/>
                <w:kern w:val="0"/>
                <w:szCs w:val="24"/>
              </w:rPr>
              <w:t>一、</w:t>
            </w:r>
            <w:r w:rsidRPr="00194FC6">
              <w:rPr>
                <w:rFonts w:ascii="標楷體" w:eastAsia="標楷體" w:hAnsi="標楷體" w:cs="細明體" w:hint="eastAsia"/>
                <w:kern w:val="0"/>
                <w:szCs w:val="24"/>
                <w:u w:val="single"/>
              </w:rPr>
              <w:t>本</w:t>
            </w:r>
            <w:r w:rsidR="00E35196" w:rsidRPr="00194FC6">
              <w:rPr>
                <w:rFonts w:ascii="標楷體" w:eastAsia="標楷體" w:hAnsi="標楷體" w:cs="細明體" w:hint="eastAsia"/>
                <w:kern w:val="0"/>
                <w:szCs w:val="24"/>
                <w:u w:val="single"/>
              </w:rPr>
              <w:t>條</w:t>
            </w:r>
            <w:r w:rsidR="009C488F" w:rsidRPr="00194FC6">
              <w:rPr>
                <w:rFonts w:ascii="標楷體" w:eastAsia="標楷體" w:hAnsi="標楷體" w:cs="細明體" w:hint="eastAsia"/>
                <w:kern w:val="0"/>
                <w:szCs w:val="24"/>
                <w:u w:val="single"/>
              </w:rPr>
              <w:t>刪除</w:t>
            </w:r>
            <w:r w:rsidRPr="00194FC6">
              <w:rPr>
                <w:rFonts w:ascii="標楷體" w:eastAsia="標楷體" w:hAnsi="標楷體" w:cs="細明體" w:hint="eastAsia"/>
                <w:kern w:val="0"/>
                <w:szCs w:val="24"/>
              </w:rPr>
              <w:t>。</w:t>
            </w:r>
          </w:p>
          <w:p w:rsidR="009C488F" w:rsidRPr="00194FC6" w:rsidRDefault="00CD0905" w:rsidP="00A90798">
            <w:pPr>
              <w:ind w:left="360" w:hangingChars="150" w:hanging="360"/>
              <w:jc w:val="both"/>
            </w:pPr>
            <w:r w:rsidRPr="00194FC6">
              <w:rPr>
                <w:rFonts w:ascii="標楷體" w:eastAsia="標楷體" w:hAnsi="標楷體" w:cs="細明體" w:hint="eastAsia"/>
                <w:kern w:val="0"/>
                <w:szCs w:val="24"/>
              </w:rPr>
              <w:t>二、</w:t>
            </w:r>
            <w:r w:rsidR="00F468EC">
              <w:rPr>
                <w:rFonts w:ascii="標楷體" w:eastAsia="標楷體" w:hAnsi="標楷體" w:cs="細明體" w:hint="eastAsia"/>
                <w:kern w:val="0"/>
                <w:szCs w:val="24"/>
              </w:rPr>
              <w:t>鑒於</w:t>
            </w:r>
            <w:r w:rsidR="00BC2544">
              <w:rPr>
                <w:rFonts w:ascii="標楷體" w:eastAsia="標楷體" w:hAnsi="標楷體" w:cs="細明體" w:hint="eastAsia"/>
                <w:kern w:val="0"/>
                <w:szCs w:val="24"/>
              </w:rPr>
              <w:t>投資人</w:t>
            </w:r>
            <w:r w:rsidR="00BC2544" w:rsidRPr="00194FC6">
              <w:rPr>
                <w:rFonts w:ascii="標楷體" w:eastAsia="標楷體" w:hAnsi="標楷體"/>
              </w:rPr>
              <w:t>資</w:t>
            </w:r>
            <w:proofErr w:type="gramStart"/>
            <w:r w:rsidR="00BC2544" w:rsidRPr="00194FC6">
              <w:rPr>
                <w:rFonts w:ascii="標楷體" w:eastAsia="標楷體" w:hAnsi="標楷體"/>
              </w:rPr>
              <w:t>券</w:t>
            </w:r>
            <w:proofErr w:type="gramEnd"/>
            <w:r w:rsidR="00BC2544" w:rsidRPr="00194FC6">
              <w:rPr>
                <w:rFonts w:ascii="標楷體" w:eastAsia="標楷體" w:hAnsi="標楷體"/>
              </w:rPr>
              <w:t>相抵交割</w:t>
            </w:r>
            <w:r w:rsidR="00BC2544">
              <w:rPr>
                <w:rFonts w:ascii="標楷體" w:eastAsia="標楷體" w:hAnsi="標楷體" w:hint="eastAsia"/>
              </w:rPr>
              <w:t>交易金額已不計入投資人單戶、</w:t>
            </w:r>
            <w:proofErr w:type="gramStart"/>
            <w:r w:rsidR="00BC2544">
              <w:rPr>
                <w:rFonts w:ascii="標楷體" w:eastAsia="標楷體" w:hAnsi="標楷體" w:hint="eastAsia"/>
              </w:rPr>
              <w:t>單股融資</w:t>
            </w:r>
            <w:proofErr w:type="gramEnd"/>
            <w:r w:rsidR="00BC2544">
              <w:rPr>
                <w:rFonts w:ascii="標楷體" w:eastAsia="標楷體" w:hAnsi="標楷體" w:hint="eastAsia"/>
              </w:rPr>
              <w:t>融券限額計算，</w:t>
            </w:r>
            <w:r w:rsidR="00BC2544">
              <w:rPr>
                <w:rFonts w:ascii="標楷體" w:eastAsia="標楷體" w:hAnsi="標楷體" w:hint="eastAsia"/>
              </w:rPr>
              <w:lastRenderedPageBreak/>
              <w:t>亦不計入證券商對全體客戶及對每種有價證券之融資融券限額，並刪除</w:t>
            </w:r>
            <w:r w:rsidR="00F468EC">
              <w:rPr>
                <w:rFonts w:ascii="標楷體" w:eastAsia="標楷體" w:hAnsi="標楷體" w:cs="細明體" w:hint="eastAsia"/>
                <w:kern w:val="0"/>
                <w:szCs w:val="24"/>
              </w:rPr>
              <w:t>第三條、第六條及第七條</w:t>
            </w:r>
            <w:r w:rsidR="00BC2544">
              <w:rPr>
                <w:rFonts w:ascii="標楷體" w:eastAsia="標楷體" w:hAnsi="標楷體" w:cs="細明體" w:hint="eastAsia"/>
                <w:kern w:val="0"/>
                <w:szCs w:val="24"/>
              </w:rPr>
              <w:t>規定，</w:t>
            </w:r>
            <w:proofErr w:type="gramStart"/>
            <w:r w:rsidR="00F468EC">
              <w:rPr>
                <w:rFonts w:ascii="標楷體" w:eastAsia="標楷體" w:hAnsi="標楷體" w:hint="eastAsia"/>
              </w:rPr>
              <w:t>爰</w:t>
            </w:r>
            <w:proofErr w:type="gramEnd"/>
            <w:r w:rsidR="00F468EC">
              <w:rPr>
                <w:rFonts w:ascii="標楷體" w:eastAsia="標楷體" w:hAnsi="標楷體" w:hint="eastAsia"/>
              </w:rPr>
              <w:t>無須於本條文</w:t>
            </w:r>
            <w:r w:rsidR="00BC2544">
              <w:rPr>
                <w:rFonts w:ascii="標楷體" w:eastAsia="標楷體" w:hAnsi="標楷體" w:hint="eastAsia"/>
              </w:rPr>
              <w:t>說明</w:t>
            </w:r>
            <w:r w:rsidR="00A90798" w:rsidRPr="00194FC6">
              <w:rPr>
                <w:rFonts w:ascii="標楷體" w:eastAsia="標楷體" w:hAnsi="標楷體"/>
              </w:rPr>
              <w:t>，主管機關所訂之每種得為融資融券交易之有價證券融資融券限額不含資</w:t>
            </w:r>
            <w:proofErr w:type="gramStart"/>
            <w:r w:rsidR="00A90798" w:rsidRPr="00194FC6">
              <w:rPr>
                <w:rFonts w:ascii="標楷體" w:eastAsia="標楷體" w:hAnsi="標楷體"/>
              </w:rPr>
              <w:t>券</w:t>
            </w:r>
            <w:proofErr w:type="gramEnd"/>
            <w:r w:rsidR="00A90798" w:rsidRPr="00194FC6">
              <w:rPr>
                <w:rFonts w:ascii="標楷體" w:eastAsia="標楷體" w:hAnsi="標楷體"/>
              </w:rPr>
              <w:t>相抵交割</w:t>
            </w:r>
            <w:r w:rsidR="009C488F" w:rsidRPr="00194FC6">
              <w:rPr>
                <w:rFonts w:ascii="標楷體" w:eastAsia="標楷體" w:hAnsi="標楷體" w:cs="細明體" w:hint="eastAsia"/>
                <w:kern w:val="0"/>
                <w:szCs w:val="24"/>
              </w:rPr>
              <w:t>。</w:t>
            </w:r>
          </w:p>
        </w:tc>
      </w:tr>
      <w:tr w:rsidR="009C488F" w:rsidRPr="00194FC6" w:rsidTr="00803EC0">
        <w:trPr>
          <w:trHeight w:val="1753"/>
        </w:trPr>
        <w:tc>
          <w:tcPr>
            <w:tcW w:w="2787" w:type="dxa"/>
          </w:tcPr>
          <w:p w:rsidR="009C488F" w:rsidRPr="00194FC6" w:rsidRDefault="00704554" w:rsidP="00CA57E0">
            <w:pPr>
              <w:pStyle w:val="HTML"/>
              <w:jc w:val="both"/>
              <w:rPr>
                <w:rFonts w:ascii="標楷體" w:eastAsia="標楷體" w:hAnsi="標楷體"/>
                <w:color w:val="auto"/>
                <w:u w:val="single"/>
              </w:rPr>
            </w:pPr>
            <w:r w:rsidRPr="00194FC6">
              <w:rPr>
                <w:rFonts w:ascii="標楷體" w:eastAsia="標楷體" w:hAnsi="標楷體" w:hint="eastAsia"/>
                <w:color w:val="auto"/>
                <w:u w:val="single"/>
              </w:rPr>
              <w:lastRenderedPageBreak/>
              <w:t>九</w:t>
            </w:r>
            <w:r w:rsidR="009C488F" w:rsidRPr="00194FC6">
              <w:rPr>
                <w:rFonts w:ascii="標楷體" w:eastAsia="標楷體" w:hAnsi="標楷體"/>
                <w:color w:val="auto"/>
              </w:rPr>
              <w:t>、本要點由證券交易所會同櫃檯中心擬訂，奉主管機關核備後公告實施，修正時亦同。</w:t>
            </w:r>
          </w:p>
        </w:tc>
        <w:tc>
          <w:tcPr>
            <w:tcW w:w="2787" w:type="dxa"/>
          </w:tcPr>
          <w:p w:rsidR="009C488F" w:rsidRPr="00194FC6" w:rsidRDefault="009C488F" w:rsidP="000C6EF9">
            <w:pPr>
              <w:pStyle w:val="HTML"/>
              <w:jc w:val="both"/>
              <w:rPr>
                <w:rFonts w:ascii="標楷體" w:eastAsia="標楷體" w:hAnsi="標楷體"/>
                <w:color w:val="auto"/>
                <w:u w:val="single"/>
              </w:rPr>
            </w:pPr>
            <w:r w:rsidRPr="00194FC6">
              <w:rPr>
                <w:rFonts w:ascii="標楷體" w:eastAsia="標楷體" w:hAnsi="標楷體"/>
                <w:color w:val="auto"/>
              </w:rPr>
              <w:t>十一、本要點由證券交易所會同櫃檯中心擬訂，奉主管機關核備後公告實施，修正時亦同。</w:t>
            </w:r>
          </w:p>
        </w:tc>
        <w:tc>
          <w:tcPr>
            <w:tcW w:w="2788" w:type="dxa"/>
          </w:tcPr>
          <w:p w:rsidR="009C488F" w:rsidRPr="00194FC6" w:rsidRDefault="009C488F" w:rsidP="009D3F4A">
            <w:pPr>
              <w:jc w:val="both"/>
            </w:pPr>
            <w:r w:rsidRPr="00194FC6">
              <w:rPr>
                <w:rFonts w:ascii="標楷體" w:eastAsia="標楷體" w:hAnsi="標楷體" w:cs="細明體" w:hint="eastAsia"/>
                <w:kern w:val="0"/>
                <w:szCs w:val="24"/>
              </w:rPr>
              <w:t>條次變更</w:t>
            </w:r>
            <w:r w:rsidR="00A17E81" w:rsidRPr="00194FC6">
              <w:rPr>
                <w:rFonts w:ascii="標楷體" w:eastAsia="標楷體" w:hAnsi="標楷體" w:cs="細明體" w:hint="eastAsia"/>
                <w:kern w:val="0"/>
                <w:szCs w:val="24"/>
              </w:rPr>
              <w:t>。</w:t>
            </w:r>
          </w:p>
        </w:tc>
      </w:tr>
    </w:tbl>
    <w:p w:rsidR="00E97A4A" w:rsidRPr="00194FC6" w:rsidRDefault="00E97A4A" w:rsidP="001C24E2">
      <w:pPr>
        <w:jc w:val="both"/>
      </w:pPr>
    </w:p>
    <w:sectPr w:rsidR="00E97A4A" w:rsidRPr="00194FC6" w:rsidSect="00726485">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2AC" w:rsidRDefault="00AF62AC"/>
  </w:endnote>
  <w:endnote w:type="continuationSeparator" w:id="0">
    <w:p w:rsidR="00AF62AC" w:rsidRDefault="00AF62A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04699"/>
      <w:docPartObj>
        <w:docPartGallery w:val="Page Numbers (Bottom of Page)"/>
        <w:docPartUnique/>
      </w:docPartObj>
    </w:sdtPr>
    <w:sdtContent>
      <w:p w:rsidR="000D40C9" w:rsidRDefault="006469C0">
        <w:pPr>
          <w:pStyle w:val="a7"/>
          <w:jc w:val="center"/>
        </w:pPr>
        <w:fldSimple w:instr=" PAGE   \* MERGEFORMAT ">
          <w:r w:rsidR="002D7F95" w:rsidRPr="002D7F95">
            <w:rPr>
              <w:noProof/>
              <w:lang w:val="zh-TW"/>
            </w:rPr>
            <w:t>3</w:t>
          </w:r>
        </w:fldSimple>
      </w:p>
    </w:sdtContent>
  </w:sdt>
  <w:p w:rsidR="000D40C9" w:rsidRDefault="000D40C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2AC" w:rsidRDefault="00AF62AC"/>
  </w:footnote>
  <w:footnote w:type="continuationSeparator" w:id="0">
    <w:p w:rsidR="00AF62AC" w:rsidRDefault="00AF62A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4CC8"/>
    <w:multiLevelType w:val="hybridMultilevel"/>
    <w:tmpl w:val="CC3A4C62"/>
    <w:lvl w:ilvl="0" w:tplc="B41623A4">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95766D"/>
    <w:multiLevelType w:val="hybridMultilevel"/>
    <w:tmpl w:val="C5F86E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44A2F4D"/>
    <w:multiLevelType w:val="hybridMultilevel"/>
    <w:tmpl w:val="768E9E98"/>
    <w:lvl w:ilvl="0" w:tplc="C9BE12FA">
      <w:start w:val="1"/>
      <w:numFmt w:val="taiwaneseCountingThousand"/>
      <w:lvlText w:val="%1、"/>
      <w:lvlJc w:val="left"/>
      <w:pPr>
        <w:ind w:left="360" w:hanging="360"/>
      </w:pPr>
      <w:rPr>
        <w:rFonts w:asciiTheme="minorHAnsi" w:eastAsiaTheme="minorEastAsia" w:hAnsiTheme="minorHAnsi" w:cstheme="minorBid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134232D"/>
    <w:multiLevelType w:val="hybridMultilevel"/>
    <w:tmpl w:val="4238D934"/>
    <w:lvl w:ilvl="0" w:tplc="585A00B0">
      <w:start w:val="1"/>
      <w:numFmt w:val="taiwaneseCountingThousand"/>
      <w:lvlText w:val="%1、"/>
      <w:lvlJc w:val="left"/>
      <w:pPr>
        <w:tabs>
          <w:tab w:val="num" w:pos="752"/>
        </w:tabs>
        <w:ind w:left="752" w:hanging="64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45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97A4A"/>
    <w:rsid w:val="00001084"/>
    <w:rsid w:val="00001290"/>
    <w:rsid w:val="0000212C"/>
    <w:rsid w:val="000023A7"/>
    <w:rsid w:val="00002AD7"/>
    <w:rsid w:val="00003A64"/>
    <w:rsid w:val="00003B52"/>
    <w:rsid w:val="000046B7"/>
    <w:rsid w:val="00006200"/>
    <w:rsid w:val="00010909"/>
    <w:rsid w:val="00012461"/>
    <w:rsid w:val="000126B0"/>
    <w:rsid w:val="00013062"/>
    <w:rsid w:val="00013F60"/>
    <w:rsid w:val="00014987"/>
    <w:rsid w:val="000172A4"/>
    <w:rsid w:val="00020090"/>
    <w:rsid w:val="0002028D"/>
    <w:rsid w:val="00020786"/>
    <w:rsid w:val="00020B71"/>
    <w:rsid w:val="00020D81"/>
    <w:rsid w:val="00022173"/>
    <w:rsid w:val="00022BCC"/>
    <w:rsid w:val="000251D7"/>
    <w:rsid w:val="000256E9"/>
    <w:rsid w:val="00026046"/>
    <w:rsid w:val="00026EB9"/>
    <w:rsid w:val="00030F02"/>
    <w:rsid w:val="00030F39"/>
    <w:rsid w:val="00031E63"/>
    <w:rsid w:val="00032308"/>
    <w:rsid w:val="000359F1"/>
    <w:rsid w:val="00035EC2"/>
    <w:rsid w:val="000362A7"/>
    <w:rsid w:val="00040100"/>
    <w:rsid w:val="000406B7"/>
    <w:rsid w:val="000407FE"/>
    <w:rsid w:val="00040B9E"/>
    <w:rsid w:val="00041360"/>
    <w:rsid w:val="000427BD"/>
    <w:rsid w:val="00046CD3"/>
    <w:rsid w:val="00047398"/>
    <w:rsid w:val="000477B4"/>
    <w:rsid w:val="00050B11"/>
    <w:rsid w:val="00053483"/>
    <w:rsid w:val="00054F31"/>
    <w:rsid w:val="00055081"/>
    <w:rsid w:val="000551A7"/>
    <w:rsid w:val="00057902"/>
    <w:rsid w:val="00057BB4"/>
    <w:rsid w:val="00057BBC"/>
    <w:rsid w:val="0006069C"/>
    <w:rsid w:val="00062778"/>
    <w:rsid w:val="00063263"/>
    <w:rsid w:val="000641EE"/>
    <w:rsid w:val="000644B9"/>
    <w:rsid w:val="00064887"/>
    <w:rsid w:val="00064E06"/>
    <w:rsid w:val="000664BE"/>
    <w:rsid w:val="0006652B"/>
    <w:rsid w:val="00066AB3"/>
    <w:rsid w:val="00066EFF"/>
    <w:rsid w:val="000672A1"/>
    <w:rsid w:val="00067F02"/>
    <w:rsid w:val="000706B9"/>
    <w:rsid w:val="0007161B"/>
    <w:rsid w:val="00073476"/>
    <w:rsid w:val="00073E30"/>
    <w:rsid w:val="00074AAD"/>
    <w:rsid w:val="0007578B"/>
    <w:rsid w:val="00075C80"/>
    <w:rsid w:val="000768D7"/>
    <w:rsid w:val="00076DF5"/>
    <w:rsid w:val="00077960"/>
    <w:rsid w:val="00077A52"/>
    <w:rsid w:val="00080453"/>
    <w:rsid w:val="000814D9"/>
    <w:rsid w:val="00082BC8"/>
    <w:rsid w:val="00082D9D"/>
    <w:rsid w:val="000835EC"/>
    <w:rsid w:val="00083818"/>
    <w:rsid w:val="00083BD8"/>
    <w:rsid w:val="00090C69"/>
    <w:rsid w:val="00090F22"/>
    <w:rsid w:val="0009103D"/>
    <w:rsid w:val="00092A2A"/>
    <w:rsid w:val="00093242"/>
    <w:rsid w:val="00095120"/>
    <w:rsid w:val="000958F7"/>
    <w:rsid w:val="00095E4D"/>
    <w:rsid w:val="00097A15"/>
    <w:rsid w:val="00097C51"/>
    <w:rsid w:val="000A0F70"/>
    <w:rsid w:val="000A144F"/>
    <w:rsid w:val="000A1ABA"/>
    <w:rsid w:val="000A302E"/>
    <w:rsid w:val="000A3569"/>
    <w:rsid w:val="000A4234"/>
    <w:rsid w:val="000A597E"/>
    <w:rsid w:val="000A6717"/>
    <w:rsid w:val="000A6823"/>
    <w:rsid w:val="000A7815"/>
    <w:rsid w:val="000B009D"/>
    <w:rsid w:val="000B0AA6"/>
    <w:rsid w:val="000B0DA9"/>
    <w:rsid w:val="000B2849"/>
    <w:rsid w:val="000B4FB6"/>
    <w:rsid w:val="000B6755"/>
    <w:rsid w:val="000C0159"/>
    <w:rsid w:val="000C1A8D"/>
    <w:rsid w:val="000C5469"/>
    <w:rsid w:val="000C554E"/>
    <w:rsid w:val="000D1F5F"/>
    <w:rsid w:val="000D40C9"/>
    <w:rsid w:val="000D4BC7"/>
    <w:rsid w:val="000D5712"/>
    <w:rsid w:val="000D58AB"/>
    <w:rsid w:val="000D62E8"/>
    <w:rsid w:val="000D7FBB"/>
    <w:rsid w:val="000E0403"/>
    <w:rsid w:val="000E0E66"/>
    <w:rsid w:val="000E2470"/>
    <w:rsid w:val="000E2580"/>
    <w:rsid w:val="000E32B8"/>
    <w:rsid w:val="000E3E2D"/>
    <w:rsid w:val="000E4454"/>
    <w:rsid w:val="000E46FC"/>
    <w:rsid w:val="000E6423"/>
    <w:rsid w:val="000E7568"/>
    <w:rsid w:val="000E7D6E"/>
    <w:rsid w:val="000F18EB"/>
    <w:rsid w:val="000F65CB"/>
    <w:rsid w:val="000F697F"/>
    <w:rsid w:val="000F6A5F"/>
    <w:rsid w:val="000F7F29"/>
    <w:rsid w:val="00101989"/>
    <w:rsid w:val="001027E3"/>
    <w:rsid w:val="00103D3A"/>
    <w:rsid w:val="0010507D"/>
    <w:rsid w:val="00106B29"/>
    <w:rsid w:val="00106B9E"/>
    <w:rsid w:val="0010713E"/>
    <w:rsid w:val="00111122"/>
    <w:rsid w:val="001111BC"/>
    <w:rsid w:val="0011174A"/>
    <w:rsid w:val="00111CAA"/>
    <w:rsid w:val="00113007"/>
    <w:rsid w:val="00113717"/>
    <w:rsid w:val="00117D76"/>
    <w:rsid w:val="00117E8C"/>
    <w:rsid w:val="00121249"/>
    <w:rsid w:val="00121721"/>
    <w:rsid w:val="00121A04"/>
    <w:rsid w:val="00125557"/>
    <w:rsid w:val="00125775"/>
    <w:rsid w:val="00126C5A"/>
    <w:rsid w:val="00126F7B"/>
    <w:rsid w:val="00130A37"/>
    <w:rsid w:val="00131ACF"/>
    <w:rsid w:val="00131BF9"/>
    <w:rsid w:val="00131F92"/>
    <w:rsid w:val="001327DF"/>
    <w:rsid w:val="00134DE2"/>
    <w:rsid w:val="00137FE2"/>
    <w:rsid w:val="0014062D"/>
    <w:rsid w:val="00140D90"/>
    <w:rsid w:val="00141048"/>
    <w:rsid w:val="0014186F"/>
    <w:rsid w:val="00142A06"/>
    <w:rsid w:val="00142F13"/>
    <w:rsid w:val="00144484"/>
    <w:rsid w:val="00144B8A"/>
    <w:rsid w:val="00150CBF"/>
    <w:rsid w:val="0015121F"/>
    <w:rsid w:val="001522EC"/>
    <w:rsid w:val="001527D0"/>
    <w:rsid w:val="00152A02"/>
    <w:rsid w:val="00154F3E"/>
    <w:rsid w:val="0016155A"/>
    <w:rsid w:val="001619A0"/>
    <w:rsid w:val="001629CF"/>
    <w:rsid w:val="00162DA8"/>
    <w:rsid w:val="001630D5"/>
    <w:rsid w:val="001648FC"/>
    <w:rsid w:val="001653EA"/>
    <w:rsid w:val="001700D4"/>
    <w:rsid w:val="00170376"/>
    <w:rsid w:val="00170F0A"/>
    <w:rsid w:val="00171BE0"/>
    <w:rsid w:val="00172A8D"/>
    <w:rsid w:val="00174878"/>
    <w:rsid w:val="00175088"/>
    <w:rsid w:val="00175A8F"/>
    <w:rsid w:val="0017633D"/>
    <w:rsid w:val="001770CD"/>
    <w:rsid w:val="00180D39"/>
    <w:rsid w:val="00183E65"/>
    <w:rsid w:val="001853E2"/>
    <w:rsid w:val="00186FCC"/>
    <w:rsid w:val="00192F61"/>
    <w:rsid w:val="0019322E"/>
    <w:rsid w:val="00193971"/>
    <w:rsid w:val="001939D0"/>
    <w:rsid w:val="00194CC5"/>
    <w:rsid w:val="00194FC6"/>
    <w:rsid w:val="001975A4"/>
    <w:rsid w:val="00197FC1"/>
    <w:rsid w:val="001A0171"/>
    <w:rsid w:val="001A045C"/>
    <w:rsid w:val="001A2DDF"/>
    <w:rsid w:val="001A3878"/>
    <w:rsid w:val="001A526D"/>
    <w:rsid w:val="001A626E"/>
    <w:rsid w:val="001A6922"/>
    <w:rsid w:val="001B1106"/>
    <w:rsid w:val="001B1E21"/>
    <w:rsid w:val="001B1E9E"/>
    <w:rsid w:val="001B3B75"/>
    <w:rsid w:val="001B3C27"/>
    <w:rsid w:val="001B5381"/>
    <w:rsid w:val="001B6BE1"/>
    <w:rsid w:val="001B7B68"/>
    <w:rsid w:val="001C24E2"/>
    <w:rsid w:val="001C3068"/>
    <w:rsid w:val="001C34FE"/>
    <w:rsid w:val="001C3D8D"/>
    <w:rsid w:val="001C4838"/>
    <w:rsid w:val="001C5170"/>
    <w:rsid w:val="001C6C32"/>
    <w:rsid w:val="001D0A7C"/>
    <w:rsid w:val="001D0AB0"/>
    <w:rsid w:val="001D0C0B"/>
    <w:rsid w:val="001D1674"/>
    <w:rsid w:val="001D21C8"/>
    <w:rsid w:val="001D2808"/>
    <w:rsid w:val="001D5726"/>
    <w:rsid w:val="001D7520"/>
    <w:rsid w:val="001E0DD5"/>
    <w:rsid w:val="001E1707"/>
    <w:rsid w:val="001E1C78"/>
    <w:rsid w:val="001E2F4C"/>
    <w:rsid w:val="001E383B"/>
    <w:rsid w:val="001E3AE6"/>
    <w:rsid w:val="001E3D4B"/>
    <w:rsid w:val="001E52CB"/>
    <w:rsid w:val="001E6197"/>
    <w:rsid w:val="001F1605"/>
    <w:rsid w:val="001F19FF"/>
    <w:rsid w:val="001F2842"/>
    <w:rsid w:val="001F38A1"/>
    <w:rsid w:val="001F4158"/>
    <w:rsid w:val="001F49C7"/>
    <w:rsid w:val="001F4D47"/>
    <w:rsid w:val="001F7012"/>
    <w:rsid w:val="001F73B4"/>
    <w:rsid w:val="0020095B"/>
    <w:rsid w:val="00202329"/>
    <w:rsid w:val="00202C35"/>
    <w:rsid w:val="00202D96"/>
    <w:rsid w:val="00204303"/>
    <w:rsid w:val="00204E32"/>
    <w:rsid w:val="00205CA7"/>
    <w:rsid w:val="00206B81"/>
    <w:rsid w:val="00207D07"/>
    <w:rsid w:val="00211A3D"/>
    <w:rsid w:val="00214BB6"/>
    <w:rsid w:val="002216E5"/>
    <w:rsid w:val="00221704"/>
    <w:rsid w:val="00221A9F"/>
    <w:rsid w:val="00222339"/>
    <w:rsid w:val="00222950"/>
    <w:rsid w:val="002239C7"/>
    <w:rsid w:val="00226BB4"/>
    <w:rsid w:val="00227A49"/>
    <w:rsid w:val="0023001F"/>
    <w:rsid w:val="00230141"/>
    <w:rsid w:val="00230460"/>
    <w:rsid w:val="00231B5E"/>
    <w:rsid w:val="00232098"/>
    <w:rsid w:val="00232315"/>
    <w:rsid w:val="00232ED7"/>
    <w:rsid w:val="0023362E"/>
    <w:rsid w:val="00234907"/>
    <w:rsid w:val="00235DDD"/>
    <w:rsid w:val="00236D45"/>
    <w:rsid w:val="00237C91"/>
    <w:rsid w:val="00240EFF"/>
    <w:rsid w:val="0024153D"/>
    <w:rsid w:val="00243B9F"/>
    <w:rsid w:val="0024487F"/>
    <w:rsid w:val="00244A74"/>
    <w:rsid w:val="0024707C"/>
    <w:rsid w:val="002514DD"/>
    <w:rsid w:val="00251D76"/>
    <w:rsid w:val="00252D47"/>
    <w:rsid w:val="0025312C"/>
    <w:rsid w:val="002537BC"/>
    <w:rsid w:val="00254013"/>
    <w:rsid w:val="0025452A"/>
    <w:rsid w:val="0025607E"/>
    <w:rsid w:val="002575E6"/>
    <w:rsid w:val="002576E7"/>
    <w:rsid w:val="00257B9F"/>
    <w:rsid w:val="00257C04"/>
    <w:rsid w:val="0026163F"/>
    <w:rsid w:val="00263477"/>
    <w:rsid w:val="002645AC"/>
    <w:rsid w:val="00264815"/>
    <w:rsid w:val="002662A3"/>
    <w:rsid w:val="00266D82"/>
    <w:rsid w:val="002671D5"/>
    <w:rsid w:val="002726D9"/>
    <w:rsid w:val="002754F4"/>
    <w:rsid w:val="002826AB"/>
    <w:rsid w:val="00283399"/>
    <w:rsid w:val="00284334"/>
    <w:rsid w:val="0028501A"/>
    <w:rsid w:val="0028516D"/>
    <w:rsid w:val="00285633"/>
    <w:rsid w:val="00285756"/>
    <w:rsid w:val="002869FD"/>
    <w:rsid w:val="00287CC1"/>
    <w:rsid w:val="00287DEF"/>
    <w:rsid w:val="0029036D"/>
    <w:rsid w:val="00290A07"/>
    <w:rsid w:val="00290D50"/>
    <w:rsid w:val="002929BF"/>
    <w:rsid w:val="00295165"/>
    <w:rsid w:val="002956A6"/>
    <w:rsid w:val="00295CDB"/>
    <w:rsid w:val="00296E74"/>
    <w:rsid w:val="00296F34"/>
    <w:rsid w:val="002A033D"/>
    <w:rsid w:val="002A0A34"/>
    <w:rsid w:val="002A0F86"/>
    <w:rsid w:val="002A1DBD"/>
    <w:rsid w:val="002A2A8A"/>
    <w:rsid w:val="002A3D14"/>
    <w:rsid w:val="002A3F10"/>
    <w:rsid w:val="002A52BA"/>
    <w:rsid w:val="002A5C42"/>
    <w:rsid w:val="002B1A5A"/>
    <w:rsid w:val="002B292F"/>
    <w:rsid w:val="002B3623"/>
    <w:rsid w:val="002B4023"/>
    <w:rsid w:val="002B4503"/>
    <w:rsid w:val="002B47F7"/>
    <w:rsid w:val="002B5C73"/>
    <w:rsid w:val="002B6D3E"/>
    <w:rsid w:val="002C075B"/>
    <w:rsid w:val="002C301B"/>
    <w:rsid w:val="002C3350"/>
    <w:rsid w:val="002C61F4"/>
    <w:rsid w:val="002D1802"/>
    <w:rsid w:val="002D398B"/>
    <w:rsid w:val="002D3CE2"/>
    <w:rsid w:val="002D5E3D"/>
    <w:rsid w:val="002D63AA"/>
    <w:rsid w:val="002D74BA"/>
    <w:rsid w:val="002D7F95"/>
    <w:rsid w:val="002E01AC"/>
    <w:rsid w:val="002E0F55"/>
    <w:rsid w:val="002E1ABB"/>
    <w:rsid w:val="002E34FE"/>
    <w:rsid w:val="002E3AC9"/>
    <w:rsid w:val="002E3DAA"/>
    <w:rsid w:val="002E442C"/>
    <w:rsid w:val="002E5E5A"/>
    <w:rsid w:val="002F0AE5"/>
    <w:rsid w:val="002F1FE0"/>
    <w:rsid w:val="002F6A2A"/>
    <w:rsid w:val="00300577"/>
    <w:rsid w:val="00301FF4"/>
    <w:rsid w:val="00302801"/>
    <w:rsid w:val="00304AF9"/>
    <w:rsid w:val="00305C4E"/>
    <w:rsid w:val="00306C8F"/>
    <w:rsid w:val="0031009A"/>
    <w:rsid w:val="00313799"/>
    <w:rsid w:val="003145EE"/>
    <w:rsid w:val="00317412"/>
    <w:rsid w:val="00320B75"/>
    <w:rsid w:val="0032230C"/>
    <w:rsid w:val="003308FB"/>
    <w:rsid w:val="00333FD3"/>
    <w:rsid w:val="00334C4D"/>
    <w:rsid w:val="00335B00"/>
    <w:rsid w:val="003411D4"/>
    <w:rsid w:val="00341A0E"/>
    <w:rsid w:val="00342447"/>
    <w:rsid w:val="00342D3C"/>
    <w:rsid w:val="00343371"/>
    <w:rsid w:val="00344450"/>
    <w:rsid w:val="003449BB"/>
    <w:rsid w:val="003451C7"/>
    <w:rsid w:val="00345753"/>
    <w:rsid w:val="0034582F"/>
    <w:rsid w:val="00347A43"/>
    <w:rsid w:val="00350ED4"/>
    <w:rsid w:val="00353950"/>
    <w:rsid w:val="00356C98"/>
    <w:rsid w:val="00357B88"/>
    <w:rsid w:val="00360601"/>
    <w:rsid w:val="0036173E"/>
    <w:rsid w:val="00362005"/>
    <w:rsid w:val="003655C9"/>
    <w:rsid w:val="003656BA"/>
    <w:rsid w:val="00366D4B"/>
    <w:rsid w:val="003671DE"/>
    <w:rsid w:val="003702AD"/>
    <w:rsid w:val="00371386"/>
    <w:rsid w:val="003718EA"/>
    <w:rsid w:val="00371BBC"/>
    <w:rsid w:val="0037261D"/>
    <w:rsid w:val="0037311D"/>
    <w:rsid w:val="00374BA9"/>
    <w:rsid w:val="00375985"/>
    <w:rsid w:val="00375A5B"/>
    <w:rsid w:val="00376CC9"/>
    <w:rsid w:val="00377BA4"/>
    <w:rsid w:val="00377CD8"/>
    <w:rsid w:val="00380CAB"/>
    <w:rsid w:val="00381F9E"/>
    <w:rsid w:val="00382F5A"/>
    <w:rsid w:val="00383919"/>
    <w:rsid w:val="003864A2"/>
    <w:rsid w:val="00386695"/>
    <w:rsid w:val="003866D7"/>
    <w:rsid w:val="00387717"/>
    <w:rsid w:val="0039093B"/>
    <w:rsid w:val="00390AF7"/>
    <w:rsid w:val="0039157B"/>
    <w:rsid w:val="00391EA4"/>
    <w:rsid w:val="0039273C"/>
    <w:rsid w:val="00394B56"/>
    <w:rsid w:val="00397CBD"/>
    <w:rsid w:val="003A1C53"/>
    <w:rsid w:val="003A33A0"/>
    <w:rsid w:val="003A4F66"/>
    <w:rsid w:val="003A60FB"/>
    <w:rsid w:val="003A6EFE"/>
    <w:rsid w:val="003A6FA4"/>
    <w:rsid w:val="003B2EEA"/>
    <w:rsid w:val="003B2F75"/>
    <w:rsid w:val="003B53B0"/>
    <w:rsid w:val="003B5FCA"/>
    <w:rsid w:val="003B6C0F"/>
    <w:rsid w:val="003C1C89"/>
    <w:rsid w:val="003C2ECD"/>
    <w:rsid w:val="003C332D"/>
    <w:rsid w:val="003C4004"/>
    <w:rsid w:val="003C6CFC"/>
    <w:rsid w:val="003C6D8F"/>
    <w:rsid w:val="003D262D"/>
    <w:rsid w:val="003D42B5"/>
    <w:rsid w:val="003D5E35"/>
    <w:rsid w:val="003D64D6"/>
    <w:rsid w:val="003D6906"/>
    <w:rsid w:val="003D6A5A"/>
    <w:rsid w:val="003D7D26"/>
    <w:rsid w:val="003E071B"/>
    <w:rsid w:val="003E0D4B"/>
    <w:rsid w:val="003E0EC5"/>
    <w:rsid w:val="003E2B04"/>
    <w:rsid w:val="003E3713"/>
    <w:rsid w:val="003E5601"/>
    <w:rsid w:val="003E5640"/>
    <w:rsid w:val="003F402F"/>
    <w:rsid w:val="003F4EFF"/>
    <w:rsid w:val="003F7A80"/>
    <w:rsid w:val="00400404"/>
    <w:rsid w:val="00400C80"/>
    <w:rsid w:val="00402017"/>
    <w:rsid w:val="004026FD"/>
    <w:rsid w:val="004028CD"/>
    <w:rsid w:val="00403190"/>
    <w:rsid w:val="00404271"/>
    <w:rsid w:val="0040560D"/>
    <w:rsid w:val="00405700"/>
    <w:rsid w:val="0041053A"/>
    <w:rsid w:val="00410F68"/>
    <w:rsid w:val="0041221D"/>
    <w:rsid w:val="004127C3"/>
    <w:rsid w:val="00412E2A"/>
    <w:rsid w:val="00415161"/>
    <w:rsid w:val="00416222"/>
    <w:rsid w:val="004166FA"/>
    <w:rsid w:val="00416C04"/>
    <w:rsid w:val="004175A4"/>
    <w:rsid w:val="00421ED4"/>
    <w:rsid w:val="00422CBB"/>
    <w:rsid w:val="00422F88"/>
    <w:rsid w:val="00423F15"/>
    <w:rsid w:val="00424263"/>
    <w:rsid w:val="0043021D"/>
    <w:rsid w:val="004308B1"/>
    <w:rsid w:val="004319DB"/>
    <w:rsid w:val="00431FAC"/>
    <w:rsid w:val="00433043"/>
    <w:rsid w:val="004339BC"/>
    <w:rsid w:val="004339DE"/>
    <w:rsid w:val="00435AC2"/>
    <w:rsid w:val="00435BE0"/>
    <w:rsid w:val="00436DEB"/>
    <w:rsid w:val="00440889"/>
    <w:rsid w:val="00441F2B"/>
    <w:rsid w:val="00442825"/>
    <w:rsid w:val="00443025"/>
    <w:rsid w:val="00444CD3"/>
    <w:rsid w:val="0044568A"/>
    <w:rsid w:val="00450642"/>
    <w:rsid w:val="004506C6"/>
    <w:rsid w:val="004510EE"/>
    <w:rsid w:val="0045138B"/>
    <w:rsid w:val="00451AE3"/>
    <w:rsid w:val="00457235"/>
    <w:rsid w:val="0045749A"/>
    <w:rsid w:val="00457964"/>
    <w:rsid w:val="00462BBA"/>
    <w:rsid w:val="004630CF"/>
    <w:rsid w:val="004677CE"/>
    <w:rsid w:val="00467944"/>
    <w:rsid w:val="00467ACD"/>
    <w:rsid w:val="0047010D"/>
    <w:rsid w:val="004713DB"/>
    <w:rsid w:val="004728BF"/>
    <w:rsid w:val="00472DE7"/>
    <w:rsid w:val="00473C0F"/>
    <w:rsid w:val="00474F28"/>
    <w:rsid w:val="00475680"/>
    <w:rsid w:val="00475BFA"/>
    <w:rsid w:val="00476758"/>
    <w:rsid w:val="004837B7"/>
    <w:rsid w:val="0048383C"/>
    <w:rsid w:val="00484E2F"/>
    <w:rsid w:val="00486ABD"/>
    <w:rsid w:val="00486CE7"/>
    <w:rsid w:val="00487661"/>
    <w:rsid w:val="00490A1A"/>
    <w:rsid w:val="00491E0A"/>
    <w:rsid w:val="00491E9A"/>
    <w:rsid w:val="00492416"/>
    <w:rsid w:val="00492A8C"/>
    <w:rsid w:val="0049348F"/>
    <w:rsid w:val="00493FEE"/>
    <w:rsid w:val="004944D2"/>
    <w:rsid w:val="00494D9F"/>
    <w:rsid w:val="004956C1"/>
    <w:rsid w:val="00497468"/>
    <w:rsid w:val="004A0375"/>
    <w:rsid w:val="004A0443"/>
    <w:rsid w:val="004A08B2"/>
    <w:rsid w:val="004A1329"/>
    <w:rsid w:val="004A303F"/>
    <w:rsid w:val="004A30F7"/>
    <w:rsid w:val="004A4C6F"/>
    <w:rsid w:val="004A7777"/>
    <w:rsid w:val="004B0010"/>
    <w:rsid w:val="004B016F"/>
    <w:rsid w:val="004B0882"/>
    <w:rsid w:val="004B2011"/>
    <w:rsid w:val="004B3D7C"/>
    <w:rsid w:val="004B4301"/>
    <w:rsid w:val="004B46F5"/>
    <w:rsid w:val="004B67E6"/>
    <w:rsid w:val="004B704A"/>
    <w:rsid w:val="004C2A0E"/>
    <w:rsid w:val="004C2BC1"/>
    <w:rsid w:val="004C3AFB"/>
    <w:rsid w:val="004C4EC1"/>
    <w:rsid w:val="004C567D"/>
    <w:rsid w:val="004C6396"/>
    <w:rsid w:val="004D2475"/>
    <w:rsid w:val="004D3429"/>
    <w:rsid w:val="004D51FD"/>
    <w:rsid w:val="004D6364"/>
    <w:rsid w:val="004E08EA"/>
    <w:rsid w:val="004E3A09"/>
    <w:rsid w:val="004E48B6"/>
    <w:rsid w:val="004E5106"/>
    <w:rsid w:val="004E6BFA"/>
    <w:rsid w:val="004E7DF6"/>
    <w:rsid w:val="004F093E"/>
    <w:rsid w:val="004F2561"/>
    <w:rsid w:val="004F2B8C"/>
    <w:rsid w:val="004F37EF"/>
    <w:rsid w:val="004F39B6"/>
    <w:rsid w:val="004F448F"/>
    <w:rsid w:val="004F44B4"/>
    <w:rsid w:val="004F6DD0"/>
    <w:rsid w:val="004F6EF3"/>
    <w:rsid w:val="005058C5"/>
    <w:rsid w:val="00505E74"/>
    <w:rsid w:val="005075F9"/>
    <w:rsid w:val="0050799B"/>
    <w:rsid w:val="00510BF7"/>
    <w:rsid w:val="00510C7B"/>
    <w:rsid w:val="00513471"/>
    <w:rsid w:val="0051735D"/>
    <w:rsid w:val="00517DDA"/>
    <w:rsid w:val="00522FFC"/>
    <w:rsid w:val="0052300F"/>
    <w:rsid w:val="00523259"/>
    <w:rsid w:val="0052480F"/>
    <w:rsid w:val="00525690"/>
    <w:rsid w:val="00525A65"/>
    <w:rsid w:val="005263A7"/>
    <w:rsid w:val="00526426"/>
    <w:rsid w:val="005274AE"/>
    <w:rsid w:val="00531131"/>
    <w:rsid w:val="00531734"/>
    <w:rsid w:val="00533451"/>
    <w:rsid w:val="00534488"/>
    <w:rsid w:val="00537815"/>
    <w:rsid w:val="005416F7"/>
    <w:rsid w:val="005419B0"/>
    <w:rsid w:val="005420A3"/>
    <w:rsid w:val="005435EA"/>
    <w:rsid w:val="00544836"/>
    <w:rsid w:val="00545B7A"/>
    <w:rsid w:val="005470AB"/>
    <w:rsid w:val="0055075F"/>
    <w:rsid w:val="00554E46"/>
    <w:rsid w:val="00555117"/>
    <w:rsid w:val="005557A5"/>
    <w:rsid w:val="005559CD"/>
    <w:rsid w:val="00555FB8"/>
    <w:rsid w:val="005563EF"/>
    <w:rsid w:val="005621B6"/>
    <w:rsid w:val="00562B71"/>
    <w:rsid w:val="00563183"/>
    <w:rsid w:val="0056327F"/>
    <w:rsid w:val="00563793"/>
    <w:rsid w:val="00566B72"/>
    <w:rsid w:val="00567127"/>
    <w:rsid w:val="00570891"/>
    <w:rsid w:val="00573150"/>
    <w:rsid w:val="00574CFE"/>
    <w:rsid w:val="00574DFE"/>
    <w:rsid w:val="00575933"/>
    <w:rsid w:val="00576005"/>
    <w:rsid w:val="00576A5E"/>
    <w:rsid w:val="00580330"/>
    <w:rsid w:val="00583364"/>
    <w:rsid w:val="005847D8"/>
    <w:rsid w:val="0058560E"/>
    <w:rsid w:val="00586CAC"/>
    <w:rsid w:val="00586CD3"/>
    <w:rsid w:val="00587830"/>
    <w:rsid w:val="00587B7C"/>
    <w:rsid w:val="00590E42"/>
    <w:rsid w:val="005929DD"/>
    <w:rsid w:val="005954F6"/>
    <w:rsid w:val="005969B2"/>
    <w:rsid w:val="00596C37"/>
    <w:rsid w:val="005A05E3"/>
    <w:rsid w:val="005A0C68"/>
    <w:rsid w:val="005A1E77"/>
    <w:rsid w:val="005A308A"/>
    <w:rsid w:val="005A5BDE"/>
    <w:rsid w:val="005A5EC1"/>
    <w:rsid w:val="005B029E"/>
    <w:rsid w:val="005B0875"/>
    <w:rsid w:val="005B3671"/>
    <w:rsid w:val="005B5AD5"/>
    <w:rsid w:val="005B7A05"/>
    <w:rsid w:val="005C0846"/>
    <w:rsid w:val="005C3A46"/>
    <w:rsid w:val="005C4502"/>
    <w:rsid w:val="005C767A"/>
    <w:rsid w:val="005C7AE7"/>
    <w:rsid w:val="005D05CA"/>
    <w:rsid w:val="005D1672"/>
    <w:rsid w:val="005D21DC"/>
    <w:rsid w:val="005D24CE"/>
    <w:rsid w:val="005D4AA2"/>
    <w:rsid w:val="005D50E2"/>
    <w:rsid w:val="005D7991"/>
    <w:rsid w:val="005E0388"/>
    <w:rsid w:val="005E1876"/>
    <w:rsid w:val="005E19D6"/>
    <w:rsid w:val="005E1BDA"/>
    <w:rsid w:val="005E1DBC"/>
    <w:rsid w:val="005E2468"/>
    <w:rsid w:val="005E458C"/>
    <w:rsid w:val="005E5DFA"/>
    <w:rsid w:val="005E681E"/>
    <w:rsid w:val="005E70CB"/>
    <w:rsid w:val="005F0B3B"/>
    <w:rsid w:val="005F123A"/>
    <w:rsid w:val="005F1F47"/>
    <w:rsid w:val="005F254F"/>
    <w:rsid w:val="005F403E"/>
    <w:rsid w:val="005F57A6"/>
    <w:rsid w:val="005F57C7"/>
    <w:rsid w:val="005F598F"/>
    <w:rsid w:val="005F5D7B"/>
    <w:rsid w:val="005F5FF0"/>
    <w:rsid w:val="00600461"/>
    <w:rsid w:val="00600590"/>
    <w:rsid w:val="00601C6B"/>
    <w:rsid w:val="0060231E"/>
    <w:rsid w:val="00602571"/>
    <w:rsid w:val="00602DFF"/>
    <w:rsid w:val="00604D70"/>
    <w:rsid w:val="00605D41"/>
    <w:rsid w:val="00606FDA"/>
    <w:rsid w:val="0060715C"/>
    <w:rsid w:val="00607405"/>
    <w:rsid w:val="00607B93"/>
    <w:rsid w:val="00607F9A"/>
    <w:rsid w:val="00607FC7"/>
    <w:rsid w:val="00612AA6"/>
    <w:rsid w:val="00615DAD"/>
    <w:rsid w:val="006164E5"/>
    <w:rsid w:val="00616E58"/>
    <w:rsid w:val="0061780E"/>
    <w:rsid w:val="00622591"/>
    <w:rsid w:val="00623081"/>
    <w:rsid w:val="00626162"/>
    <w:rsid w:val="00626324"/>
    <w:rsid w:val="00626FFB"/>
    <w:rsid w:val="00630143"/>
    <w:rsid w:val="006303C0"/>
    <w:rsid w:val="00630859"/>
    <w:rsid w:val="00631DAC"/>
    <w:rsid w:val="006327DA"/>
    <w:rsid w:val="0063354A"/>
    <w:rsid w:val="00635C77"/>
    <w:rsid w:val="006374BD"/>
    <w:rsid w:val="00637BB6"/>
    <w:rsid w:val="00640F22"/>
    <w:rsid w:val="0064255A"/>
    <w:rsid w:val="00642E96"/>
    <w:rsid w:val="00645581"/>
    <w:rsid w:val="00645C70"/>
    <w:rsid w:val="006464FC"/>
    <w:rsid w:val="006469C0"/>
    <w:rsid w:val="006514F1"/>
    <w:rsid w:val="00651A0E"/>
    <w:rsid w:val="00651DFA"/>
    <w:rsid w:val="00654143"/>
    <w:rsid w:val="00654676"/>
    <w:rsid w:val="00656430"/>
    <w:rsid w:val="00662A56"/>
    <w:rsid w:val="006634C6"/>
    <w:rsid w:val="006635D9"/>
    <w:rsid w:val="0066696F"/>
    <w:rsid w:val="00667904"/>
    <w:rsid w:val="00671FE6"/>
    <w:rsid w:val="00672438"/>
    <w:rsid w:val="00672520"/>
    <w:rsid w:val="00672697"/>
    <w:rsid w:val="00672816"/>
    <w:rsid w:val="00673722"/>
    <w:rsid w:val="00674B12"/>
    <w:rsid w:val="00675FFA"/>
    <w:rsid w:val="00677318"/>
    <w:rsid w:val="006832BE"/>
    <w:rsid w:val="00684F9D"/>
    <w:rsid w:val="006853BE"/>
    <w:rsid w:val="006865F5"/>
    <w:rsid w:val="00686B47"/>
    <w:rsid w:val="0068736F"/>
    <w:rsid w:val="006874C8"/>
    <w:rsid w:val="0068769A"/>
    <w:rsid w:val="00692B48"/>
    <w:rsid w:val="00694807"/>
    <w:rsid w:val="00694E72"/>
    <w:rsid w:val="00695715"/>
    <w:rsid w:val="00696EF2"/>
    <w:rsid w:val="006A057E"/>
    <w:rsid w:val="006A07CF"/>
    <w:rsid w:val="006A3E7D"/>
    <w:rsid w:val="006A49E6"/>
    <w:rsid w:val="006A4B04"/>
    <w:rsid w:val="006A4DE0"/>
    <w:rsid w:val="006A60C6"/>
    <w:rsid w:val="006A70C9"/>
    <w:rsid w:val="006A7D0D"/>
    <w:rsid w:val="006B0DAB"/>
    <w:rsid w:val="006C09AF"/>
    <w:rsid w:val="006C0BEB"/>
    <w:rsid w:val="006C110A"/>
    <w:rsid w:val="006C3746"/>
    <w:rsid w:val="006C43E5"/>
    <w:rsid w:val="006C5C97"/>
    <w:rsid w:val="006D0DBA"/>
    <w:rsid w:val="006D26D1"/>
    <w:rsid w:val="006D3144"/>
    <w:rsid w:val="006D3439"/>
    <w:rsid w:val="006D49BF"/>
    <w:rsid w:val="006D4CCC"/>
    <w:rsid w:val="006D57D7"/>
    <w:rsid w:val="006D7029"/>
    <w:rsid w:val="006E28DA"/>
    <w:rsid w:val="006E28F1"/>
    <w:rsid w:val="006E2C18"/>
    <w:rsid w:val="006E689E"/>
    <w:rsid w:val="006E6C5B"/>
    <w:rsid w:val="006E6C83"/>
    <w:rsid w:val="006E6F10"/>
    <w:rsid w:val="006F0423"/>
    <w:rsid w:val="006F0461"/>
    <w:rsid w:val="006F35F7"/>
    <w:rsid w:val="006F4CFC"/>
    <w:rsid w:val="00700776"/>
    <w:rsid w:val="0070089A"/>
    <w:rsid w:val="007017F1"/>
    <w:rsid w:val="00702266"/>
    <w:rsid w:val="00702567"/>
    <w:rsid w:val="00704356"/>
    <w:rsid w:val="00704554"/>
    <w:rsid w:val="00704CA0"/>
    <w:rsid w:val="007065C0"/>
    <w:rsid w:val="0070683B"/>
    <w:rsid w:val="00712290"/>
    <w:rsid w:val="00712F9E"/>
    <w:rsid w:val="00713A87"/>
    <w:rsid w:val="00714B04"/>
    <w:rsid w:val="00715C5D"/>
    <w:rsid w:val="00720966"/>
    <w:rsid w:val="00721577"/>
    <w:rsid w:val="00722921"/>
    <w:rsid w:val="00724F93"/>
    <w:rsid w:val="0072529F"/>
    <w:rsid w:val="00725DB4"/>
    <w:rsid w:val="00726485"/>
    <w:rsid w:val="00727F80"/>
    <w:rsid w:val="007317CF"/>
    <w:rsid w:val="00731D74"/>
    <w:rsid w:val="0073200A"/>
    <w:rsid w:val="00735F0C"/>
    <w:rsid w:val="00736C9C"/>
    <w:rsid w:val="00741971"/>
    <w:rsid w:val="00742259"/>
    <w:rsid w:val="0074233F"/>
    <w:rsid w:val="00742621"/>
    <w:rsid w:val="00743588"/>
    <w:rsid w:val="00745B12"/>
    <w:rsid w:val="00745F95"/>
    <w:rsid w:val="00746739"/>
    <w:rsid w:val="00750720"/>
    <w:rsid w:val="00752798"/>
    <w:rsid w:val="00752BA7"/>
    <w:rsid w:val="00752EBA"/>
    <w:rsid w:val="00752F90"/>
    <w:rsid w:val="0075650F"/>
    <w:rsid w:val="007570F9"/>
    <w:rsid w:val="0075735C"/>
    <w:rsid w:val="0076127A"/>
    <w:rsid w:val="00764319"/>
    <w:rsid w:val="00767BCE"/>
    <w:rsid w:val="007709B7"/>
    <w:rsid w:val="00773179"/>
    <w:rsid w:val="007731F4"/>
    <w:rsid w:val="007745ED"/>
    <w:rsid w:val="00775756"/>
    <w:rsid w:val="0077724C"/>
    <w:rsid w:val="007803CA"/>
    <w:rsid w:val="00780A48"/>
    <w:rsid w:val="00780FBD"/>
    <w:rsid w:val="0078103A"/>
    <w:rsid w:val="007834CA"/>
    <w:rsid w:val="00783544"/>
    <w:rsid w:val="0078631A"/>
    <w:rsid w:val="00787A20"/>
    <w:rsid w:val="007907F3"/>
    <w:rsid w:val="00791109"/>
    <w:rsid w:val="00792ABD"/>
    <w:rsid w:val="00793976"/>
    <w:rsid w:val="00795B3C"/>
    <w:rsid w:val="007961CE"/>
    <w:rsid w:val="0079704C"/>
    <w:rsid w:val="007A05FB"/>
    <w:rsid w:val="007A0BBB"/>
    <w:rsid w:val="007A13F0"/>
    <w:rsid w:val="007A1932"/>
    <w:rsid w:val="007A2C92"/>
    <w:rsid w:val="007A3B63"/>
    <w:rsid w:val="007A41ED"/>
    <w:rsid w:val="007A4A81"/>
    <w:rsid w:val="007A5F64"/>
    <w:rsid w:val="007A5FD2"/>
    <w:rsid w:val="007B1226"/>
    <w:rsid w:val="007B1739"/>
    <w:rsid w:val="007B334C"/>
    <w:rsid w:val="007B36CF"/>
    <w:rsid w:val="007B4F2B"/>
    <w:rsid w:val="007B591F"/>
    <w:rsid w:val="007B6B79"/>
    <w:rsid w:val="007C01EA"/>
    <w:rsid w:val="007C1EC0"/>
    <w:rsid w:val="007C29E8"/>
    <w:rsid w:val="007C2CC0"/>
    <w:rsid w:val="007C45EB"/>
    <w:rsid w:val="007C4A5E"/>
    <w:rsid w:val="007C5ED5"/>
    <w:rsid w:val="007C5F5C"/>
    <w:rsid w:val="007C73FE"/>
    <w:rsid w:val="007D236A"/>
    <w:rsid w:val="007D3F23"/>
    <w:rsid w:val="007D734A"/>
    <w:rsid w:val="007D796A"/>
    <w:rsid w:val="007E108D"/>
    <w:rsid w:val="007E13C9"/>
    <w:rsid w:val="007E3782"/>
    <w:rsid w:val="007E547F"/>
    <w:rsid w:val="007E5F35"/>
    <w:rsid w:val="007E6220"/>
    <w:rsid w:val="007E754C"/>
    <w:rsid w:val="007F021C"/>
    <w:rsid w:val="007F081D"/>
    <w:rsid w:val="007F21FF"/>
    <w:rsid w:val="007F5BCF"/>
    <w:rsid w:val="007F7AE6"/>
    <w:rsid w:val="00800A09"/>
    <w:rsid w:val="00801D37"/>
    <w:rsid w:val="0080235B"/>
    <w:rsid w:val="00803EC0"/>
    <w:rsid w:val="008059F8"/>
    <w:rsid w:val="00806206"/>
    <w:rsid w:val="00806FB3"/>
    <w:rsid w:val="00812876"/>
    <w:rsid w:val="0081298E"/>
    <w:rsid w:val="008142FB"/>
    <w:rsid w:val="008148B3"/>
    <w:rsid w:val="008152A9"/>
    <w:rsid w:val="008161C9"/>
    <w:rsid w:val="00816842"/>
    <w:rsid w:val="008212BC"/>
    <w:rsid w:val="00822798"/>
    <w:rsid w:val="00822947"/>
    <w:rsid w:val="00822C7B"/>
    <w:rsid w:val="00826F05"/>
    <w:rsid w:val="00827114"/>
    <w:rsid w:val="00827B9E"/>
    <w:rsid w:val="008323B1"/>
    <w:rsid w:val="00833526"/>
    <w:rsid w:val="00835E47"/>
    <w:rsid w:val="0083691B"/>
    <w:rsid w:val="00836F05"/>
    <w:rsid w:val="00841D32"/>
    <w:rsid w:val="008420EA"/>
    <w:rsid w:val="008427AF"/>
    <w:rsid w:val="008432F9"/>
    <w:rsid w:val="00843E2D"/>
    <w:rsid w:val="008448B2"/>
    <w:rsid w:val="0084678F"/>
    <w:rsid w:val="00846C45"/>
    <w:rsid w:val="008471CC"/>
    <w:rsid w:val="0085114B"/>
    <w:rsid w:val="00851486"/>
    <w:rsid w:val="0085156A"/>
    <w:rsid w:val="00851F89"/>
    <w:rsid w:val="0085232B"/>
    <w:rsid w:val="00852E57"/>
    <w:rsid w:val="008554BB"/>
    <w:rsid w:val="00855C5D"/>
    <w:rsid w:val="008564E3"/>
    <w:rsid w:val="00856839"/>
    <w:rsid w:val="0086015D"/>
    <w:rsid w:val="00860344"/>
    <w:rsid w:val="00862734"/>
    <w:rsid w:val="0086301E"/>
    <w:rsid w:val="00863028"/>
    <w:rsid w:val="008659E2"/>
    <w:rsid w:val="00867172"/>
    <w:rsid w:val="00867D74"/>
    <w:rsid w:val="00873482"/>
    <w:rsid w:val="008752D8"/>
    <w:rsid w:val="00875657"/>
    <w:rsid w:val="00875B55"/>
    <w:rsid w:val="0087617D"/>
    <w:rsid w:val="008774F4"/>
    <w:rsid w:val="008808D5"/>
    <w:rsid w:val="0088661D"/>
    <w:rsid w:val="00887654"/>
    <w:rsid w:val="0089007A"/>
    <w:rsid w:val="008902BE"/>
    <w:rsid w:val="00891A88"/>
    <w:rsid w:val="00894A90"/>
    <w:rsid w:val="00895400"/>
    <w:rsid w:val="00897444"/>
    <w:rsid w:val="008A1649"/>
    <w:rsid w:val="008A2E45"/>
    <w:rsid w:val="008A35F2"/>
    <w:rsid w:val="008A4300"/>
    <w:rsid w:val="008A4325"/>
    <w:rsid w:val="008A4862"/>
    <w:rsid w:val="008A4E84"/>
    <w:rsid w:val="008A6078"/>
    <w:rsid w:val="008A659A"/>
    <w:rsid w:val="008A769E"/>
    <w:rsid w:val="008A7D3D"/>
    <w:rsid w:val="008B09A6"/>
    <w:rsid w:val="008B170F"/>
    <w:rsid w:val="008B20D9"/>
    <w:rsid w:val="008B2968"/>
    <w:rsid w:val="008B2FF0"/>
    <w:rsid w:val="008B3962"/>
    <w:rsid w:val="008B4500"/>
    <w:rsid w:val="008B7053"/>
    <w:rsid w:val="008B792A"/>
    <w:rsid w:val="008C0D7F"/>
    <w:rsid w:val="008C1722"/>
    <w:rsid w:val="008C2D2B"/>
    <w:rsid w:val="008C5984"/>
    <w:rsid w:val="008C6F1E"/>
    <w:rsid w:val="008C7329"/>
    <w:rsid w:val="008D207F"/>
    <w:rsid w:val="008D2B7B"/>
    <w:rsid w:val="008D5E33"/>
    <w:rsid w:val="008D7005"/>
    <w:rsid w:val="008D795C"/>
    <w:rsid w:val="008E2136"/>
    <w:rsid w:val="008E2737"/>
    <w:rsid w:val="008E3530"/>
    <w:rsid w:val="008E3D82"/>
    <w:rsid w:val="008E5FC2"/>
    <w:rsid w:val="008E6661"/>
    <w:rsid w:val="008F0A75"/>
    <w:rsid w:val="008F12D0"/>
    <w:rsid w:val="008F2224"/>
    <w:rsid w:val="008F33D2"/>
    <w:rsid w:val="008F41BE"/>
    <w:rsid w:val="008F4BBA"/>
    <w:rsid w:val="008F51EB"/>
    <w:rsid w:val="008F6CB2"/>
    <w:rsid w:val="008F6FA2"/>
    <w:rsid w:val="00900CDA"/>
    <w:rsid w:val="00900FC9"/>
    <w:rsid w:val="00901471"/>
    <w:rsid w:val="00904C09"/>
    <w:rsid w:val="00905693"/>
    <w:rsid w:val="00906E5E"/>
    <w:rsid w:val="00906F9D"/>
    <w:rsid w:val="00911857"/>
    <w:rsid w:val="00912272"/>
    <w:rsid w:val="00913BC0"/>
    <w:rsid w:val="009140C3"/>
    <w:rsid w:val="009150EA"/>
    <w:rsid w:val="00916BF0"/>
    <w:rsid w:val="00917345"/>
    <w:rsid w:val="00917799"/>
    <w:rsid w:val="009204BA"/>
    <w:rsid w:val="00920DC5"/>
    <w:rsid w:val="00921687"/>
    <w:rsid w:val="00922281"/>
    <w:rsid w:val="009222A5"/>
    <w:rsid w:val="0092315E"/>
    <w:rsid w:val="009244C8"/>
    <w:rsid w:val="00924987"/>
    <w:rsid w:val="009254AF"/>
    <w:rsid w:val="00925D28"/>
    <w:rsid w:val="0092685E"/>
    <w:rsid w:val="00931233"/>
    <w:rsid w:val="00931D07"/>
    <w:rsid w:val="00931D0D"/>
    <w:rsid w:val="00931DB6"/>
    <w:rsid w:val="0093371E"/>
    <w:rsid w:val="00933DD7"/>
    <w:rsid w:val="00934666"/>
    <w:rsid w:val="00936F19"/>
    <w:rsid w:val="009433A9"/>
    <w:rsid w:val="00944978"/>
    <w:rsid w:val="009458F8"/>
    <w:rsid w:val="0095051A"/>
    <w:rsid w:val="0095214B"/>
    <w:rsid w:val="00952BA7"/>
    <w:rsid w:val="00953B3F"/>
    <w:rsid w:val="00960B21"/>
    <w:rsid w:val="00960F7E"/>
    <w:rsid w:val="009610BA"/>
    <w:rsid w:val="009613F4"/>
    <w:rsid w:val="009618EA"/>
    <w:rsid w:val="00964401"/>
    <w:rsid w:val="00964CF4"/>
    <w:rsid w:val="0096760E"/>
    <w:rsid w:val="00970D90"/>
    <w:rsid w:val="00971001"/>
    <w:rsid w:val="0097263F"/>
    <w:rsid w:val="00972BB2"/>
    <w:rsid w:val="009739D2"/>
    <w:rsid w:val="00973BEF"/>
    <w:rsid w:val="00974414"/>
    <w:rsid w:val="0097469B"/>
    <w:rsid w:val="00975418"/>
    <w:rsid w:val="00975913"/>
    <w:rsid w:val="00977B60"/>
    <w:rsid w:val="00981D0C"/>
    <w:rsid w:val="009821FF"/>
    <w:rsid w:val="00982262"/>
    <w:rsid w:val="00983AF0"/>
    <w:rsid w:val="00983C66"/>
    <w:rsid w:val="00984AF9"/>
    <w:rsid w:val="009853D2"/>
    <w:rsid w:val="009877DD"/>
    <w:rsid w:val="009900F7"/>
    <w:rsid w:val="0099017B"/>
    <w:rsid w:val="00993FF3"/>
    <w:rsid w:val="009943E9"/>
    <w:rsid w:val="0099521E"/>
    <w:rsid w:val="009957FE"/>
    <w:rsid w:val="00996047"/>
    <w:rsid w:val="009A079F"/>
    <w:rsid w:val="009A1338"/>
    <w:rsid w:val="009A169D"/>
    <w:rsid w:val="009A21C3"/>
    <w:rsid w:val="009A46DF"/>
    <w:rsid w:val="009A53A8"/>
    <w:rsid w:val="009A74EB"/>
    <w:rsid w:val="009B25C3"/>
    <w:rsid w:val="009B4275"/>
    <w:rsid w:val="009B43A6"/>
    <w:rsid w:val="009B59E9"/>
    <w:rsid w:val="009B6D24"/>
    <w:rsid w:val="009B6F1E"/>
    <w:rsid w:val="009B70E1"/>
    <w:rsid w:val="009B70FE"/>
    <w:rsid w:val="009B7392"/>
    <w:rsid w:val="009B7EFB"/>
    <w:rsid w:val="009C1FAE"/>
    <w:rsid w:val="009C320D"/>
    <w:rsid w:val="009C478B"/>
    <w:rsid w:val="009C488F"/>
    <w:rsid w:val="009C4B79"/>
    <w:rsid w:val="009C5663"/>
    <w:rsid w:val="009C690E"/>
    <w:rsid w:val="009C7BAF"/>
    <w:rsid w:val="009C7E30"/>
    <w:rsid w:val="009D073A"/>
    <w:rsid w:val="009D1EB8"/>
    <w:rsid w:val="009D2A0A"/>
    <w:rsid w:val="009D3704"/>
    <w:rsid w:val="009D3F4A"/>
    <w:rsid w:val="009D4C1A"/>
    <w:rsid w:val="009D5B55"/>
    <w:rsid w:val="009D69D9"/>
    <w:rsid w:val="009E186D"/>
    <w:rsid w:val="009E1C14"/>
    <w:rsid w:val="009E3974"/>
    <w:rsid w:val="009E5918"/>
    <w:rsid w:val="009E5944"/>
    <w:rsid w:val="009E5C79"/>
    <w:rsid w:val="009E62D1"/>
    <w:rsid w:val="009E6E41"/>
    <w:rsid w:val="009F1927"/>
    <w:rsid w:val="009F32C8"/>
    <w:rsid w:val="009F3606"/>
    <w:rsid w:val="009F39F2"/>
    <w:rsid w:val="009F4BB0"/>
    <w:rsid w:val="009F54A0"/>
    <w:rsid w:val="009F6B17"/>
    <w:rsid w:val="009F6BE8"/>
    <w:rsid w:val="009F795A"/>
    <w:rsid w:val="00A0143C"/>
    <w:rsid w:val="00A01638"/>
    <w:rsid w:val="00A049DD"/>
    <w:rsid w:val="00A07A4D"/>
    <w:rsid w:val="00A14E92"/>
    <w:rsid w:val="00A14F8D"/>
    <w:rsid w:val="00A15151"/>
    <w:rsid w:val="00A1522B"/>
    <w:rsid w:val="00A15BA4"/>
    <w:rsid w:val="00A17E81"/>
    <w:rsid w:val="00A20653"/>
    <w:rsid w:val="00A210B4"/>
    <w:rsid w:val="00A22401"/>
    <w:rsid w:val="00A22951"/>
    <w:rsid w:val="00A22E7A"/>
    <w:rsid w:val="00A238AC"/>
    <w:rsid w:val="00A24C38"/>
    <w:rsid w:val="00A24FE3"/>
    <w:rsid w:val="00A25C47"/>
    <w:rsid w:val="00A25F46"/>
    <w:rsid w:val="00A272FB"/>
    <w:rsid w:val="00A30EA4"/>
    <w:rsid w:val="00A32928"/>
    <w:rsid w:val="00A33EB1"/>
    <w:rsid w:val="00A34238"/>
    <w:rsid w:val="00A35F47"/>
    <w:rsid w:val="00A368BF"/>
    <w:rsid w:val="00A40922"/>
    <w:rsid w:val="00A419F4"/>
    <w:rsid w:val="00A43743"/>
    <w:rsid w:val="00A473A4"/>
    <w:rsid w:val="00A47A2B"/>
    <w:rsid w:val="00A50025"/>
    <w:rsid w:val="00A512B4"/>
    <w:rsid w:val="00A51A51"/>
    <w:rsid w:val="00A531E6"/>
    <w:rsid w:val="00A53E52"/>
    <w:rsid w:val="00A54AFE"/>
    <w:rsid w:val="00A552DA"/>
    <w:rsid w:val="00A56746"/>
    <w:rsid w:val="00A5703C"/>
    <w:rsid w:val="00A57F9E"/>
    <w:rsid w:val="00A600D0"/>
    <w:rsid w:val="00A6055B"/>
    <w:rsid w:val="00A61447"/>
    <w:rsid w:val="00A6201C"/>
    <w:rsid w:val="00A62FAA"/>
    <w:rsid w:val="00A65F13"/>
    <w:rsid w:val="00A6616D"/>
    <w:rsid w:val="00A66348"/>
    <w:rsid w:val="00A72411"/>
    <w:rsid w:val="00A72641"/>
    <w:rsid w:val="00A76900"/>
    <w:rsid w:val="00A76931"/>
    <w:rsid w:val="00A807FE"/>
    <w:rsid w:val="00A80C46"/>
    <w:rsid w:val="00A812C8"/>
    <w:rsid w:val="00A825B6"/>
    <w:rsid w:val="00A854D5"/>
    <w:rsid w:val="00A87000"/>
    <w:rsid w:val="00A90798"/>
    <w:rsid w:val="00A92D17"/>
    <w:rsid w:val="00A92EAD"/>
    <w:rsid w:val="00A934B0"/>
    <w:rsid w:val="00A93E9F"/>
    <w:rsid w:val="00A949A8"/>
    <w:rsid w:val="00A95780"/>
    <w:rsid w:val="00A96121"/>
    <w:rsid w:val="00A96F88"/>
    <w:rsid w:val="00AA1B12"/>
    <w:rsid w:val="00AA36BE"/>
    <w:rsid w:val="00AA4138"/>
    <w:rsid w:val="00AA538E"/>
    <w:rsid w:val="00AA70BC"/>
    <w:rsid w:val="00AA7529"/>
    <w:rsid w:val="00AA7E07"/>
    <w:rsid w:val="00AB0045"/>
    <w:rsid w:val="00AB030C"/>
    <w:rsid w:val="00AB1131"/>
    <w:rsid w:val="00AB2493"/>
    <w:rsid w:val="00AB39F8"/>
    <w:rsid w:val="00AB6CB6"/>
    <w:rsid w:val="00AC06A5"/>
    <w:rsid w:val="00AC19C8"/>
    <w:rsid w:val="00AC2180"/>
    <w:rsid w:val="00AC2B83"/>
    <w:rsid w:val="00AC64B0"/>
    <w:rsid w:val="00AC654C"/>
    <w:rsid w:val="00AC6F47"/>
    <w:rsid w:val="00AC72A9"/>
    <w:rsid w:val="00AD22E2"/>
    <w:rsid w:val="00AD241D"/>
    <w:rsid w:val="00AD4D43"/>
    <w:rsid w:val="00AD5343"/>
    <w:rsid w:val="00AD75C6"/>
    <w:rsid w:val="00AE026B"/>
    <w:rsid w:val="00AE0539"/>
    <w:rsid w:val="00AE2AC4"/>
    <w:rsid w:val="00AE2D3B"/>
    <w:rsid w:val="00AE4715"/>
    <w:rsid w:val="00AE4FB3"/>
    <w:rsid w:val="00AE5441"/>
    <w:rsid w:val="00AE6468"/>
    <w:rsid w:val="00AE64C6"/>
    <w:rsid w:val="00AE6B8D"/>
    <w:rsid w:val="00AE7E91"/>
    <w:rsid w:val="00AF0B53"/>
    <w:rsid w:val="00AF16E1"/>
    <w:rsid w:val="00AF25AD"/>
    <w:rsid w:val="00AF5A44"/>
    <w:rsid w:val="00AF62AC"/>
    <w:rsid w:val="00AF6558"/>
    <w:rsid w:val="00AF6C32"/>
    <w:rsid w:val="00B0257F"/>
    <w:rsid w:val="00B03981"/>
    <w:rsid w:val="00B0459E"/>
    <w:rsid w:val="00B0484B"/>
    <w:rsid w:val="00B05F1D"/>
    <w:rsid w:val="00B1069A"/>
    <w:rsid w:val="00B11B68"/>
    <w:rsid w:val="00B11E98"/>
    <w:rsid w:val="00B11EE1"/>
    <w:rsid w:val="00B12528"/>
    <w:rsid w:val="00B12CAB"/>
    <w:rsid w:val="00B13CE2"/>
    <w:rsid w:val="00B13EE7"/>
    <w:rsid w:val="00B14941"/>
    <w:rsid w:val="00B15DEC"/>
    <w:rsid w:val="00B16652"/>
    <w:rsid w:val="00B16A4A"/>
    <w:rsid w:val="00B202A2"/>
    <w:rsid w:val="00B220DC"/>
    <w:rsid w:val="00B23117"/>
    <w:rsid w:val="00B245F3"/>
    <w:rsid w:val="00B30367"/>
    <w:rsid w:val="00B30BA5"/>
    <w:rsid w:val="00B32225"/>
    <w:rsid w:val="00B33850"/>
    <w:rsid w:val="00B33D81"/>
    <w:rsid w:val="00B364AC"/>
    <w:rsid w:val="00B36F62"/>
    <w:rsid w:val="00B37CF9"/>
    <w:rsid w:val="00B41F50"/>
    <w:rsid w:val="00B43325"/>
    <w:rsid w:val="00B434E3"/>
    <w:rsid w:val="00B4492E"/>
    <w:rsid w:val="00B44CEF"/>
    <w:rsid w:val="00B45719"/>
    <w:rsid w:val="00B50FD4"/>
    <w:rsid w:val="00B52938"/>
    <w:rsid w:val="00B531AF"/>
    <w:rsid w:val="00B533FA"/>
    <w:rsid w:val="00B54F11"/>
    <w:rsid w:val="00B56004"/>
    <w:rsid w:val="00B56AF1"/>
    <w:rsid w:val="00B61C5F"/>
    <w:rsid w:val="00B61DCB"/>
    <w:rsid w:val="00B65B6B"/>
    <w:rsid w:val="00B67A86"/>
    <w:rsid w:val="00B714C6"/>
    <w:rsid w:val="00B71B04"/>
    <w:rsid w:val="00B72167"/>
    <w:rsid w:val="00B743DF"/>
    <w:rsid w:val="00B75A37"/>
    <w:rsid w:val="00B7675B"/>
    <w:rsid w:val="00B77814"/>
    <w:rsid w:val="00B77F78"/>
    <w:rsid w:val="00B80447"/>
    <w:rsid w:val="00B805EE"/>
    <w:rsid w:val="00B80660"/>
    <w:rsid w:val="00B81073"/>
    <w:rsid w:val="00B829EA"/>
    <w:rsid w:val="00B840EB"/>
    <w:rsid w:val="00B8468F"/>
    <w:rsid w:val="00B85B8C"/>
    <w:rsid w:val="00B85CA1"/>
    <w:rsid w:val="00B87AA7"/>
    <w:rsid w:val="00B92356"/>
    <w:rsid w:val="00B923AC"/>
    <w:rsid w:val="00B92857"/>
    <w:rsid w:val="00B9789F"/>
    <w:rsid w:val="00BA004D"/>
    <w:rsid w:val="00BA09C8"/>
    <w:rsid w:val="00BA1682"/>
    <w:rsid w:val="00BA1F1A"/>
    <w:rsid w:val="00BA29C4"/>
    <w:rsid w:val="00BA30F7"/>
    <w:rsid w:val="00BA3EE4"/>
    <w:rsid w:val="00BA4308"/>
    <w:rsid w:val="00BA5003"/>
    <w:rsid w:val="00BA6E12"/>
    <w:rsid w:val="00BB0AD0"/>
    <w:rsid w:val="00BB0F4B"/>
    <w:rsid w:val="00BB4324"/>
    <w:rsid w:val="00BB510C"/>
    <w:rsid w:val="00BB54D6"/>
    <w:rsid w:val="00BB5B1C"/>
    <w:rsid w:val="00BB7007"/>
    <w:rsid w:val="00BB7145"/>
    <w:rsid w:val="00BC032A"/>
    <w:rsid w:val="00BC0781"/>
    <w:rsid w:val="00BC0D30"/>
    <w:rsid w:val="00BC1721"/>
    <w:rsid w:val="00BC1BF6"/>
    <w:rsid w:val="00BC2544"/>
    <w:rsid w:val="00BC2C5B"/>
    <w:rsid w:val="00BC3F15"/>
    <w:rsid w:val="00BC5820"/>
    <w:rsid w:val="00BD015D"/>
    <w:rsid w:val="00BD0350"/>
    <w:rsid w:val="00BD0C8C"/>
    <w:rsid w:val="00BD0D0C"/>
    <w:rsid w:val="00BD23F6"/>
    <w:rsid w:val="00BD6670"/>
    <w:rsid w:val="00BD671D"/>
    <w:rsid w:val="00BD6895"/>
    <w:rsid w:val="00BD6AD7"/>
    <w:rsid w:val="00BD6BE8"/>
    <w:rsid w:val="00BE2DDF"/>
    <w:rsid w:val="00BE352E"/>
    <w:rsid w:val="00BE4700"/>
    <w:rsid w:val="00BE684D"/>
    <w:rsid w:val="00BE752C"/>
    <w:rsid w:val="00BF0699"/>
    <w:rsid w:val="00BF0E60"/>
    <w:rsid w:val="00BF22B0"/>
    <w:rsid w:val="00BF2A29"/>
    <w:rsid w:val="00BF459B"/>
    <w:rsid w:val="00BF551B"/>
    <w:rsid w:val="00BF559B"/>
    <w:rsid w:val="00BF73AB"/>
    <w:rsid w:val="00BF7A8A"/>
    <w:rsid w:val="00C0267A"/>
    <w:rsid w:val="00C03A18"/>
    <w:rsid w:val="00C05573"/>
    <w:rsid w:val="00C116BA"/>
    <w:rsid w:val="00C158A6"/>
    <w:rsid w:val="00C16B53"/>
    <w:rsid w:val="00C179F6"/>
    <w:rsid w:val="00C21C48"/>
    <w:rsid w:val="00C25F99"/>
    <w:rsid w:val="00C27458"/>
    <w:rsid w:val="00C27666"/>
    <w:rsid w:val="00C34A4D"/>
    <w:rsid w:val="00C34B48"/>
    <w:rsid w:val="00C3567E"/>
    <w:rsid w:val="00C37637"/>
    <w:rsid w:val="00C41C50"/>
    <w:rsid w:val="00C41E29"/>
    <w:rsid w:val="00C43155"/>
    <w:rsid w:val="00C43793"/>
    <w:rsid w:val="00C43820"/>
    <w:rsid w:val="00C43E94"/>
    <w:rsid w:val="00C448DC"/>
    <w:rsid w:val="00C44ABB"/>
    <w:rsid w:val="00C5044A"/>
    <w:rsid w:val="00C50D89"/>
    <w:rsid w:val="00C53EDC"/>
    <w:rsid w:val="00C6289A"/>
    <w:rsid w:val="00C634FD"/>
    <w:rsid w:val="00C651E9"/>
    <w:rsid w:val="00C6528E"/>
    <w:rsid w:val="00C65947"/>
    <w:rsid w:val="00C65F60"/>
    <w:rsid w:val="00C663F2"/>
    <w:rsid w:val="00C66D2C"/>
    <w:rsid w:val="00C6735D"/>
    <w:rsid w:val="00C74054"/>
    <w:rsid w:val="00C7674E"/>
    <w:rsid w:val="00C76FD6"/>
    <w:rsid w:val="00C80DEF"/>
    <w:rsid w:val="00C82332"/>
    <w:rsid w:val="00C82BBC"/>
    <w:rsid w:val="00C83038"/>
    <w:rsid w:val="00C838A2"/>
    <w:rsid w:val="00C85AB7"/>
    <w:rsid w:val="00C85BA0"/>
    <w:rsid w:val="00C86202"/>
    <w:rsid w:val="00C8707C"/>
    <w:rsid w:val="00C90358"/>
    <w:rsid w:val="00C9074B"/>
    <w:rsid w:val="00C91954"/>
    <w:rsid w:val="00C930A3"/>
    <w:rsid w:val="00C9314C"/>
    <w:rsid w:val="00C95E9D"/>
    <w:rsid w:val="00C95F29"/>
    <w:rsid w:val="00C97382"/>
    <w:rsid w:val="00C97513"/>
    <w:rsid w:val="00C97F82"/>
    <w:rsid w:val="00CA0A9A"/>
    <w:rsid w:val="00CA12FA"/>
    <w:rsid w:val="00CA14EA"/>
    <w:rsid w:val="00CA225A"/>
    <w:rsid w:val="00CA50BE"/>
    <w:rsid w:val="00CA5633"/>
    <w:rsid w:val="00CA5708"/>
    <w:rsid w:val="00CA57E0"/>
    <w:rsid w:val="00CA6791"/>
    <w:rsid w:val="00CA6AC8"/>
    <w:rsid w:val="00CA74E4"/>
    <w:rsid w:val="00CB3BDA"/>
    <w:rsid w:val="00CB443B"/>
    <w:rsid w:val="00CB5540"/>
    <w:rsid w:val="00CB70F8"/>
    <w:rsid w:val="00CC34E4"/>
    <w:rsid w:val="00CC6385"/>
    <w:rsid w:val="00CD0905"/>
    <w:rsid w:val="00CD1542"/>
    <w:rsid w:val="00CD46B2"/>
    <w:rsid w:val="00CD4C2B"/>
    <w:rsid w:val="00CD5A11"/>
    <w:rsid w:val="00CD5C23"/>
    <w:rsid w:val="00CD62F5"/>
    <w:rsid w:val="00CD6BA9"/>
    <w:rsid w:val="00CE00B0"/>
    <w:rsid w:val="00CE01A6"/>
    <w:rsid w:val="00CE3AFF"/>
    <w:rsid w:val="00CE500C"/>
    <w:rsid w:val="00CF16E0"/>
    <w:rsid w:val="00CF2368"/>
    <w:rsid w:val="00CF3D8D"/>
    <w:rsid w:val="00CF6B2D"/>
    <w:rsid w:val="00CF76AE"/>
    <w:rsid w:val="00D00476"/>
    <w:rsid w:val="00D01309"/>
    <w:rsid w:val="00D0460F"/>
    <w:rsid w:val="00D0561F"/>
    <w:rsid w:val="00D07447"/>
    <w:rsid w:val="00D10230"/>
    <w:rsid w:val="00D11C33"/>
    <w:rsid w:val="00D11F48"/>
    <w:rsid w:val="00D148C5"/>
    <w:rsid w:val="00D15762"/>
    <w:rsid w:val="00D1639D"/>
    <w:rsid w:val="00D175DE"/>
    <w:rsid w:val="00D20E27"/>
    <w:rsid w:val="00D20ECF"/>
    <w:rsid w:val="00D21156"/>
    <w:rsid w:val="00D22427"/>
    <w:rsid w:val="00D22977"/>
    <w:rsid w:val="00D22C94"/>
    <w:rsid w:val="00D23B77"/>
    <w:rsid w:val="00D25BF2"/>
    <w:rsid w:val="00D25D30"/>
    <w:rsid w:val="00D26150"/>
    <w:rsid w:val="00D26382"/>
    <w:rsid w:val="00D26F1A"/>
    <w:rsid w:val="00D335C4"/>
    <w:rsid w:val="00D36E92"/>
    <w:rsid w:val="00D410C3"/>
    <w:rsid w:val="00D429A7"/>
    <w:rsid w:val="00D433C8"/>
    <w:rsid w:val="00D45A74"/>
    <w:rsid w:val="00D47DD4"/>
    <w:rsid w:val="00D50095"/>
    <w:rsid w:val="00D507CD"/>
    <w:rsid w:val="00D508C1"/>
    <w:rsid w:val="00D53023"/>
    <w:rsid w:val="00D53DD5"/>
    <w:rsid w:val="00D54213"/>
    <w:rsid w:val="00D55396"/>
    <w:rsid w:val="00D55E1B"/>
    <w:rsid w:val="00D56070"/>
    <w:rsid w:val="00D56382"/>
    <w:rsid w:val="00D56519"/>
    <w:rsid w:val="00D566E5"/>
    <w:rsid w:val="00D56E52"/>
    <w:rsid w:val="00D577D7"/>
    <w:rsid w:val="00D57A85"/>
    <w:rsid w:val="00D57DAD"/>
    <w:rsid w:val="00D60392"/>
    <w:rsid w:val="00D60538"/>
    <w:rsid w:val="00D61A35"/>
    <w:rsid w:val="00D61E7D"/>
    <w:rsid w:val="00D61F5F"/>
    <w:rsid w:val="00D62E90"/>
    <w:rsid w:val="00D63A46"/>
    <w:rsid w:val="00D65B64"/>
    <w:rsid w:val="00D67482"/>
    <w:rsid w:val="00D700D4"/>
    <w:rsid w:val="00D71A36"/>
    <w:rsid w:val="00D73DCF"/>
    <w:rsid w:val="00D7414A"/>
    <w:rsid w:val="00D839DB"/>
    <w:rsid w:val="00D84801"/>
    <w:rsid w:val="00D85AFA"/>
    <w:rsid w:val="00D86E8E"/>
    <w:rsid w:val="00D9123A"/>
    <w:rsid w:val="00D9214E"/>
    <w:rsid w:val="00D94E02"/>
    <w:rsid w:val="00D960DB"/>
    <w:rsid w:val="00D9785D"/>
    <w:rsid w:val="00DA1029"/>
    <w:rsid w:val="00DA1249"/>
    <w:rsid w:val="00DA1E1F"/>
    <w:rsid w:val="00DA466C"/>
    <w:rsid w:val="00DA4D4F"/>
    <w:rsid w:val="00DA5384"/>
    <w:rsid w:val="00DA5CCD"/>
    <w:rsid w:val="00DA6225"/>
    <w:rsid w:val="00DA64C0"/>
    <w:rsid w:val="00DB0EC6"/>
    <w:rsid w:val="00DB11B4"/>
    <w:rsid w:val="00DB177D"/>
    <w:rsid w:val="00DB1B59"/>
    <w:rsid w:val="00DB2262"/>
    <w:rsid w:val="00DB27B2"/>
    <w:rsid w:val="00DB355A"/>
    <w:rsid w:val="00DB4989"/>
    <w:rsid w:val="00DB4CF3"/>
    <w:rsid w:val="00DB5B6B"/>
    <w:rsid w:val="00DB7689"/>
    <w:rsid w:val="00DC0748"/>
    <w:rsid w:val="00DC21C3"/>
    <w:rsid w:val="00DC2ACA"/>
    <w:rsid w:val="00DC3310"/>
    <w:rsid w:val="00DC3932"/>
    <w:rsid w:val="00DC41E5"/>
    <w:rsid w:val="00DC4690"/>
    <w:rsid w:val="00DC4EC1"/>
    <w:rsid w:val="00DC5AAF"/>
    <w:rsid w:val="00DC7CD0"/>
    <w:rsid w:val="00DD00A2"/>
    <w:rsid w:val="00DD5827"/>
    <w:rsid w:val="00DE04B8"/>
    <w:rsid w:val="00DE0D22"/>
    <w:rsid w:val="00DE3363"/>
    <w:rsid w:val="00DE33CB"/>
    <w:rsid w:val="00DE494F"/>
    <w:rsid w:val="00DE5474"/>
    <w:rsid w:val="00DE5E40"/>
    <w:rsid w:val="00DE6C98"/>
    <w:rsid w:val="00DF02D9"/>
    <w:rsid w:val="00DF153A"/>
    <w:rsid w:val="00DF1CC0"/>
    <w:rsid w:val="00DF32A4"/>
    <w:rsid w:val="00DF3839"/>
    <w:rsid w:val="00DF3A98"/>
    <w:rsid w:val="00DF3BAB"/>
    <w:rsid w:val="00DF3E31"/>
    <w:rsid w:val="00DF4A43"/>
    <w:rsid w:val="00DF5D06"/>
    <w:rsid w:val="00DF60E1"/>
    <w:rsid w:val="00DF6797"/>
    <w:rsid w:val="00DF6FBE"/>
    <w:rsid w:val="00DF7566"/>
    <w:rsid w:val="00E002D8"/>
    <w:rsid w:val="00E0050F"/>
    <w:rsid w:val="00E006EF"/>
    <w:rsid w:val="00E008E0"/>
    <w:rsid w:val="00E00D6D"/>
    <w:rsid w:val="00E01AC6"/>
    <w:rsid w:val="00E02D6B"/>
    <w:rsid w:val="00E03DD6"/>
    <w:rsid w:val="00E046D2"/>
    <w:rsid w:val="00E077C2"/>
    <w:rsid w:val="00E10043"/>
    <w:rsid w:val="00E1078B"/>
    <w:rsid w:val="00E129EC"/>
    <w:rsid w:val="00E12E70"/>
    <w:rsid w:val="00E1342B"/>
    <w:rsid w:val="00E13DA1"/>
    <w:rsid w:val="00E159D3"/>
    <w:rsid w:val="00E15F4E"/>
    <w:rsid w:val="00E205E3"/>
    <w:rsid w:val="00E222FD"/>
    <w:rsid w:val="00E223C2"/>
    <w:rsid w:val="00E22B5E"/>
    <w:rsid w:val="00E23492"/>
    <w:rsid w:val="00E249AC"/>
    <w:rsid w:val="00E24FBE"/>
    <w:rsid w:val="00E25F91"/>
    <w:rsid w:val="00E27B28"/>
    <w:rsid w:val="00E3001C"/>
    <w:rsid w:val="00E30556"/>
    <w:rsid w:val="00E328C7"/>
    <w:rsid w:val="00E333A8"/>
    <w:rsid w:val="00E350BF"/>
    <w:rsid w:val="00E35196"/>
    <w:rsid w:val="00E37145"/>
    <w:rsid w:val="00E402A9"/>
    <w:rsid w:val="00E404E5"/>
    <w:rsid w:val="00E40917"/>
    <w:rsid w:val="00E40B60"/>
    <w:rsid w:val="00E40DCC"/>
    <w:rsid w:val="00E44C4B"/>
    <w:rsid w:val="00E47B79"/>
    <w:rsid w:val="00E502D9"/>
    <w:rsid w:val="00E50DBD"/>
    <w:rsid w:val="00E51AAE"/>
    <w:rsid w:val="00E52BFE"/>
    <w:rsid w:val="00E53B47"/>
    <w:rsid w:val="00E54AD0"/>
    <w:rsid w:val="00E56CDC"/>
    <w:rsid w:val="00E620B9"/>
    <w:rsid w:val="00E6239F"/>
    <w:rsid w:val="00E633C1"/>
    <w:rsid w:val="00E63A99"/>
    <w:rsid w:val="00E659B3"/>
    <w:rsid w:val="00E661D8"/>
    <w:rsid w:val="00E66452"/>
    <w:rsid w:val="00E66DB9"/>
    <w:rsid w:val="00E67D8D"/>
    <w:rsid w:val="00E709FC"/>
    <w:rsid w:val="00E711A2"/>
    <w:rsid w:val="00E725AC"/>
    <w:rsid w:val="00E73456"/>
    <w:rsid w:val="00E7426B"/>
    <w:rsid w:val="00E74EB9"/>
    <w:rsid w:val="00E74ED3"/>
    <w:rsid w:val="00E75BAD"/>
    <w:rsid w:val="00E82DE0"/>
    <w:rsid w:val="00E836F3"/>
    <w:rsid w:val="00E84614"/>
    <w:rsid w:val="00E85B3B"/>
    <w:rsid w:val="00E9115A"/>
    <w:rsid w:val="00E920C7"/>
    <w:rsid w:val="00E93B66"/>
    <w:rsid w:val="00E97A4A"/>
    <w:rsid w:val="00E97CD0"/>
    <w:rsid w:val="00EA2B07"/>
    <w:rsid w:val="00EA46DB"/>
    <w:rsid w:val="00EA4DDB"/>
    <w:rsid w:val="00EA5040"/>
    <w:rsid w:val="00EA5988"/>
    <w:rsid w:val="00EB11ED"/>
    <w:rsid w:val="00EB1352"/>
    <w:rsid w:val="00EB17C2"/>
    <w:rsid w:val="00EB3A62"/>
    <w:rsid w:val="00EB404C"/>
    <w:rsid w:val="00EB4960"/>
    <w:rsid w:val="00EB4AFD"/>
    <w:rsid w:val="00EB5EE9"/>
    <w:rsid w:val="00EB635B"/>
    <w:rsid w:val="00EB691B"/>
    <w:rsid w:val="00EB7905"/>
    <w:rsid w:val="00EC326C"/>
    <w:rsid w:val="00EC4BCC"/>
    <w:rsid w:val="00EC5852"/>
    <w:rsid w:val="00EC6C5C"/>
    <w:rsid w:val="00ED0691"/>
    <w:rsid w:val="00ED07FF"/>
    <w:rsid w:val="00ED25BB"/>
    <w:rsid w:val="00ED41C3"/>
    <w:rsid w:val="00ED44D4"/>
    <w:rsid w:val="00ED4B29"/>
    <w:rsid w:val="00ED4B7E"/>
    <w:rsid w:val="00ED4E3F"/>
    <w:rsid w:val="00ED55C3"/>
    <w:rsid w:val="00ED6002"/>
    <w:rsid w:val="00ED609E"/>
    <w:rsid w:val="00EE1A52"/>
    <w:rsid w:val="00EE425F"/>
    <w:rsid w:val="00EE427D"/>
    <w:rsid w:val="00EE6520"/>
    <w:rsid w:val="00EE6F15"/>
    <w:rsid w:val="00EE7759"/>
    <w:rsid w:val="00EF018E"/>
    <w:rsid w:val="00EF0A1A"/>
    <w:rsid w:val="00EF2B52"/>
    <w:rsid w:val="00EF335B"/>
    <w:rsid w:val="00EF4996"/>
    <w:rsid w:val="00EF4FE7"/>
    <w:rsid w:val="00EF55A1"/>
    <w:rsid w:val="00EF63C3"/>
    <w:rsid w:val="00EF69C1"/>
    <w:rsid w:val="00EF7F28"/>
    <w:rsid w:val="00F000DF"/>
    <w:rsid w:val="00F00F83"/>
    <w:rsid w:val="00F024C5"/>
    <w:rsid w:val="00F03199"/>
    <w:rsid w:val="00F03205"/>
    <w:rsid w:val="00F0370A"/>
    <w:rsid w:val="00F04068"/>
    <w:rsid w:val="00F04AAE"/>
    <w:rsid w:val="00F04CD6"/>
    <w:rsid w:val="00F05C7F"/>
    <w:rsid w:val="00F06633"/>
    <w:rsid w:val="00F070CA"/>
    <w:rsid w:val="00F103EA"/>
    <w:rsid w:val="00F120F3"/>
    <w:rsid w:val="00F12960"/>
    <w:rsid w:val="00F13727"/>
    <w:rsid w:val="00F16C4C"/>
    <w:rsid w:val="00F17926"/>
    <w:rsid w:val="00F2006F"/>
    <w:rsid w:val="00F204F5"/>
    <w:rsid w:val="00F21178"/>
    <w:rsid w:val="00F2754D"/>
    <w:rsid w:val="00F33872"/>
    <w:rsid w:val="00F3527B"/>
    <w:rsid w:val="00F35C89"/>
    <w:rsid w:val="00F401E8"/>
    <w:rsid w:val="00F403CC"/>
    <w:rsid w:val="00F42E9B"/>
    <w:rsid w:val="00F43CA9"/>
    <w:rsid w:val="00F44E6C"/>
    <w:rsid w:val="00F467CD"/>
    <w:rsid w:val="00F468EC"/>
    <w:rsid w:val="00F507EE"/>
    <w:rsid w:val="00F50F96"/>
    <w:rsid w:val="00F510A2"/>
    <w:rsid w:val="00F53D52"/>
    <w:rsid w:val="00F5447C"/>
    <w:rsid w:val="00F55352"/>
    <w:rsid w:val="00F55DB8"/>
    <w:rsid w:val="00F5777A"/>
    <w:rsid w:val="00F57CF5"/>
    <w:rsid w:val="00F66679"/>
    <w:rsid w:val="00F6690E"/>
    <w:rsid w:val="00F67630"/>
    <w:rsid w:val="00F67E90"/>
    <w:rsid w:val="00F708E8"/>
    <w:rsid w:val="00F71C18"/>
    <w:rsid w:val="00F71CE3"/>
    <w:rsid w:val="00F7249A"/>
    <w:rsid w:val="00F725F8"/>
    <w:rsid w:val="00F77C1F"/>
    <w:rsid w:val="00F80109"/>
    <w:rsid w:val="00F8285A"/>
    <w:rsid w:val="00F83880"/>
    <w:rsid w:val="00F8391F"/>
    <w:rsid w:val="00F8433C"/>
    <w:rsid w:val="00F8460C"/>
    <w:rsid w:val="00F8467B"/>
    <w:rsid w:val="00F853F5"/>
    <w:rsid w:val="00F86D90"/>
    <w:rsid w:val="00F913D9"/>
    <w:rsid w:val="00F92BAE"/>
    <w:rsid w:val="00F94925"/>
    <w:rsid w:val="00F95620"/>
    <w:rsid w:val="00FA0508"/>
    <w:rsid w:val="00FA126D"/>
    <w:rsid w:val="00FA1622"/>
    <w:rsid w:val="00FA236E"/>
    <w:rsid w:val="00FA2AA9"/>
    <w:rsid w:val="00FA3C91"/>
    <w:rsid w:val="00FA455B"/>
    <w:rsid w:val="00FA49FD"/>
    <w:rsid w:val="00FA5F0C"/>
    <w:rsid w:val="00FA5F80"/>
    <w:rsid w:val="00FA7F80"/>
    <w:rsid w:val="00FB028F"/>
    <w:rsid w:val="00FB08C9"/>
    <w:rsid w:val="00FB2B34"/>
    <w:rsid w:val="00FB5C9C"/>
    <w:rsid w:val="00FB6772"/>
    <w:rsid w:val="00FC26DA"/>
    <w:rsid w:val="00FC378C"/>
    <w:rsid w:val="00FC3962"/>
    <w:rsid w:val="00FC607A"/>
    <w:rsid w:val="00FC6ED9"/>
    <w:rsid w:val="00FC74EE"/>
    <w:rsid w:val="00FC7934"/>
    <w:rsid w:val="00FD04A3"/>
    <w:rsid w:val="00FD159E"/>
    <w:rsid w:val="00FD2A29"/>
    <w:rsid w:val="00FD36B3"/>
    <w:rsid w:val="00FD4EB7"/>
    <w:rsid w:val="00FD56AF"/>
    <w:rsid w:val="00FD6CAD"/>
    <w:rsid w:val="00FE13D3"/>
    <w:rsid w:val="00FE3E62"/>
    <w:rsid w:val="00FE4735"/>
    <w:rsid w:val="00FE7A6E"/>
    <w:rsid w:val="00FF11C0"/>
    <w:rsid w:val="00FF128A"/>
    <w:rsid w:val="00FF184E"/>
    <w:rsid w:val="00FF1D68"/>
    <w:rsid w:val="00FF4084"/>
    <w:rsid w:val="00FF46BE"/>
    <w:rsid w:val="00FF6D51"/>
    <w:rsid w:val="00FF7AB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48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7A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7A4A"/>
    <w:pPr>
      <w:ind w:leftChars="200" w:left="480"/>
    </w:pPr>
  </w:style>
  <w:style w:type="paragraph" w:styleId="a5">
    <w:name w:val="header"/>
    <w:basedOn w:val="a"/>
    <w:link w:val="a6"/>
    <w:uiPriority w:val="99"/>
    <w:semiHidden/>
    <w:unhideWhenUsed/>
    <w:rsid w:val="008A1649"/>
    <w:pPr>
      <w:tabs>
        <w:tab w:val="center" w:pos="4153"/>
        <w:tab w:val="right" w:pos="8306"/>
      </w:tabs>
      <w:snapToGrid w:val="0"/>
    </w:pPr>
    <w:rPr>
      <w:sz w:val="20"/>
      <w:szCs w:val="20"/>
    </w:rPr>
  </w:style>
  <w:style w:type="character" w:customStyle="1" w:styleId="a6">
    <w:name w:val="頁首 字元"/>
    <w:basedOn w:val="a0"/>
    <w:link w:val="a5"/>
    <w:uiPriority w:val="99"/>
    <w:semiHidden/>
    <w:rsid w:val="008A1649"/>
    <w:rPr>
      <w:sz w:val="20"/>
      <w:szCs w:val="20"/>
    </w:rPr>
  </w:style>
  <w:style w:type="paragraph" w:styleId="a7">
    <w:name w:val="footer"/>
    <w:basedOn w:val="a"/>
    <w:link w:val="a8"/>
    <w:uiPriority w:val="99"/>
    <w:unhideWhenUsed/>
    <w:rsid w:val="008A1649"/>
    <w:pPr>
      <w:tabs>
        <w:tab w:val="center" w:pos="4153"/>
        <w:tab w:val="right" w:pos="8306"/>
      </w:tabs>
      <w:snapToGrid w:val="0"/>
    </w:pPr>
    <w:rPr>
      <w:sz w:val="20"/>
      <w:szCs w:val="20"/>
    </w:rPr>
  </w:style>
  <w:style w:type="character" w:customStyle="1" w:styleId="a8">
    <w:name w:val="頁尾 字元"/>
    <w:basedOn w:val="a0"/>
    <w:link w:val="a7"/>
    <w:uiPriority w:val="99"/>
    <w:rsid w:val="008A1649"/>
    <w:rPr>
      <w:sz w:val="20"/>
      <w:szCs w:val="20"/>
    </w:rPr>
  </w:style>
  <w:style w:type="paragraph" w:styleId="HTML">
    <w:name w:val="HTML Preformatted"/>
    <w:basedOn w:val="a"/>
    <w:link w:val="HTML0"/>
    <w:uiPriority w:val="99"/>
    <w:unhideWhenUsed/>
    <w:rsid w:val="009739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333333"/>
      <w:kern w:val="0"/>
      <w:szCs w:val="24"/>
    </w:rPr>
  </w:style>
  <w:style w:type="character" w:customStyle="1" w:styleId="HTML0">
    <w:name w:val="HTML 預設格式 字元"/>
    <w:basedOn w:val="a0"/>
    <w:link w:val="HTML"/>
    <w:uiPriority w:val="99"/>
    <w:rsid w:val="009739D2"/>
    <w:rPr>
      <w:rFonts w:ascii="細明體" w:eastAsia="細明體" w:hAnsi="細明體" w:cs="細明體"/>
      <w:color w:val="333333"/>
      <w:kern w:val="0"/>
      <w:szCs w:val="24"/>
    </w:rPr>
  </w:style>
  <w:style w:type="character" w:styleId="a9">
    <w:name w:val="Hyperlink"/>
    <w:basedOn w:val="a0"/>
    <w:uiPriority w:val="99"/>
    <w:semiHidden/>
    <w:unhideWhenUsed/>
    <w:rsid w:val="00090F22"/>
    <w:rPr>
      <w:color w:val="003366"/>
      <w:u w:val="single"/>
    </w:rPr>
  </w:style>
  <w:style w:type="paragraph" w:customStyle="1" w:styleId="aa">
    <w:name w:val="字元 字元 字元 字元"/>
    <w:basedOn w:val="a"/>
    <w:rsid w:val="00AE0539"/>
    <w:pPr>
      <w:widowControl/>
      <w:spacing w:after="160" w:line="240" w:lineRule="exact"/>
    </w:pPr>
    <w:rPr>
      <w:rFonts w:ascii="Arial" w:eastAsia="Times New Roman" w:hAnsi="Arial" w:cs="Arial"/>
      <w:kern w:val="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Scripts/newsdetail.asp?no=G010094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227CE-69B5-4AC2-888A-72C7C20B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541</Words>
  <Characters>3084</Characters>
  <Application>Microsoft Office Word</Application>
  <DocSecurity>0</DocSecurity>
  <Lines>25</Lines>
  <Paragraphs>7</Paragraphs>
  <ScaleCrop>false</ScaleCrop>
  <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0771</dc:creator>
  <cp:lastModifiedBy>00</cp:lastModifiedBy>
  <cp:revision>7</cp:revision>
  <cp:lastPrinted>2014-06-05T02:23:00Z</cp:lastPrinted>
  <dcterms:created xsi:type="dcterms:W3CDTF">2014-10-08T09:52:00Z</dcterms:created>
  <dcterms:modified xsi:type="dcterms:W3CDTF">2014-10-08T09:53:00Z</dcterms:modified>
</cp:coreProperties>
</file>